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B8191">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506613</w:t>
      </w:r>
      <w:bookmarkStart w:id="10" w:name="_GoBack"/>
      <w:bookmarkEnd w:id="10"/>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1616F9CF">
      <w:pPr>
        <w:tabs>
          <w:tab w:val="left" w:pos="1985"/>
        </w:tabs>
        <w:rPr>
          <w:rFonts w:ascii="Times New Roman" w:hAnsi="Times New Roman"/>
          <w:b/>
          <w:sz w:val="22"/>
          <w:highlight w:val="none"/>
        </w:rPr>
      </w:pPr>
    </w:p>
    <w:p w14:paraId="52487F0C">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100296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F665BAD">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testability and interoperability for AI/ML for mobility</w:t>
      </w:r>
    </w:p>
    <w:bookmarkEnd w:id="4"/>
    <w:bookmarkEnd w:id="5"/>
    <w:p w14:paraId="2F899A6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F553CB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9CCD57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8CA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65B48765">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1E1B0D8C">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6BDFF37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7CF8845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71B936B1">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0F1548FE">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D5B017B">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testability and interoperability for AI/ML for mobility</w:t>
      </w:r>
      <w:r>
        <w:rPr>
          <w:rFonts w:hint="eastAsia" w:ascii="Times New Roman" w:hAnsi="Times New Roman"/>
          <w:sz w:val="20"/>
          <w:szCs w:val="20"/>
        </w:rPr>
        <w:t>.</w:t>
      </w:r>
    </w:p>
    <w:p w14:paraId="661AD13D">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7" w:name="OLE_LINK1"/>
      <w:bookmarkStart w:id="8" w:name="OLE_LINK2"/>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A8E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46421968">
            <w:pPr>
              <w:pStyle w:val="7"/>
              <w:bidi w:val="0"/>
              <w:rPr>
                <w:rFonts w:hint="default" w:ascii="Times New Roman" w:hAnsi="Times New Roman" w:cs="Times New Roman"/>
              </w:rPr>
            </w:pPr>
            <w:r>
              <w:rPr>
                <w:rFonts w:hint="default" w:ascii="Times New Roman" w:hAnsi="Times New Roman" w:cs="Times New Roman"/>
              </w:rPr>
              <w:t>Issue 4-1-1: Testing Setup in FR1</w:t>
            </w:r>
          </w:p>
          <w:p w14:paraId="70D573E9">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47CC9646">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cs="Times New Roman" w:eastAsiaTheme="minorEastAsia"/>
                <w:sz w:val="20"/>
                <w:szCs w:val="20"/>
                <w:lang w:eastAsia="zh-CN"/>
              </w:rPr>
              <w:t xml:space="preserve">Proposal 1 (Huawei): </w:t>
            </w:r>
          </w:p>
          <w:p w14:paraId="51FB38AF">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FR1 to FR1 prediction testing, consider (i) 1 Tx at TE as a starting point and (ii) channel models to be AWGN or TDL. Reuse RAN4 legacy test setup for cases where one cell to be measured and one cell to be predicted.</w:t>
            </w:r>
          </w:p>
          <w:p w14:paraId="15B68846">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2 (Nokia): </w:t>
            </w:r>
          </w:p>
          <w:p w14:paraId="4EEB5C1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Consider L3 filtering and multi-beam scenarios </w:t>
            </w:r>
          </w:p>
          <w:p w14:paraId="61830767">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Emulation the radio channel variations by considering fading channels such as CDL or TDL to test and evaluate the prediction accuracy of the AIML models/ functionalities </w:t>
            </w:r>
          </w:p>
          <w:p w14:paraId="21DFA83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TE considers the delays to acquire prediction and corresponding Ground Truth as some UEs might not be capable of doing both concurrently</w:t>
            </w:r>
          </w:p>
          <w:p w14:paraId="6B0CD50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Use the skipping pattern indication agreed in RAN2 </w:t>
            </w:r>
          </w:p>
          <w:p w14:paraId="1696A0B3">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Legacy test setup may be considered as baseline for intra cell scenarios (i.e. scenarios 2 and 4 with sub-use case 2). </w:t>
            </w:r>
          </w:p>
          <w:p w14:paraId="2AA8E7A9">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Consider L3 filtering and multi-beam scenarios while studying the test cases for AI/ML mobility uses cases.</w:t>
            </w:r>
          </w:p>
          <w:p w14:paraId="2CCC0D38">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3 (Vivo):</w:t>
            </w:r>
          </w:p>
          <w:p w14:paraId="0F1E0CEA">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Consider using AWGN/TDL channel model as the baseline for testing.</w:t>
            </w:r>
          </w:p>
          <w:p w14:paraId="2BF91EA7">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 xml:space="preserve">Consider modelling reference UE trajectory for OTA testing and to emulate the dynamic channel by changing the doppler, changing the SNR, rotate UE in turnable, and change probe power </w:t>
            </w:r>
          </w:p>
          <w:p w14:paraId="27CA4C0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Consider potential testability setups in FR1</w:t>
            </w:r>
          </w:p>
          <w:tbl>
            <w:tblPr>
              <w:tblStyle w:val="17"/>
              <w:tblW w:w="88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1261"/>
              <w:gridCol w:w="727"/>
              <w:gridCol w:w="1083"/>
              <w:gridCol w:w="990"/>
              <w:gridCol w:w="1154"/>
              <w:gridCol w:w="827"/>
              <w:gridCol w:w="780"/>
              <w:gridCol w:w="1075"/>
            </w:tblGrid>
            <w:tr w14:paraId="0F54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9" w:type="dxa"/>
                  <w:tcBorders>
                    <w:top w:val="single" w:color="auto" w:sz="4" w:space="0"/>
                    <w:left w:val="single" w:color="auto" w:sz="4" w:space="0"/>
                    <w:bottom w:val="single" w:color="auto" w:sz="4" w:space="0"/>
                    <w:right w:val="single" w:color="auto" w:sz="4" w:space="0"/>
                  </w:tcBorders>
                  <w:vAlign w:val="center"/>
                </w:tcPr>
                <w:p w14:paraId="4F1DA21D">
                  <w:pPr>
                    <w:snapToGrid w:val="0"/>
                    <w:spacing w:before="120" w:after="120" w:line="280" w:lineRule="atLeast"/>
                    <w:jc w:val="right"/>
                    <w:rPr>
                      <w:rFonts w:hint="default" w:ascii="Times New Roman" w:hAnsi="Times New Roman" w:eastAsia="Malgun Gothic" w:cs="Times New Roman"/>
                      <w:bCs/>
                      <w:sz w:val="20"/>
                      <w:szCs w:val="20"/>
                      <w:lang w:eastAsia="ko-KR"/>
                    </w:rPr>
                  </w:pPr>
                  <w:r>
                    <w:rPr>
                      <w:rFonts w:hint="default" w:ascii="Times New Roman" w:hAnsi="Times New Roman" w:eastAsia="Malgun Gothic" w:cs="Times New Roman"/>
                      <w:bCs/>
                      <w:sz w:val="20"/>
                      <w:szCs w:val="20"/>
                      <w:lang w:eastAsia="ko-KR"/>
                    </w:rPr>
                    <w:t>Scenario number</w:t>
                  </w:r>
                </w:p>
              </w:tc>
              <w:tc>
                <w:tcPr>
                  <w:tcW w:w="816" w:type="dxa"/>
                  <w:tcBorders>
                    <w:top w:val="single" w:color="auto" w:sz="4" w:space="0"/>
                    <w:left w:val="single" w:color="auto" w:sz="4" w:space="0"/>
                    <w:bottom w:val="single" w:color="auto" w:sz="4" w:space="0"/>
                    <w:right w:val="single" w:color="auto" w:sz="4" w:space="0"/>
                  </w:tcBorders>
                  <w:vAlign w:val="center"/>
                </w:tcPr>
                <w:p w14:paraId="3EE10063">
                  <w:pPr>
                    <w:snapToGrid w:val="0"/>
                    <w:spacing w:before="120" w:after="120" w:line="280" w:lineRule="atLeast"/>
                    <w:jc w:val="both"/>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Sub-scenario</w:t>
                  </w:r>
                </w:p>
              </w:tc>
              <w:tc>
                <w:tcPr>
                  <w:tcW w:w="676" w:type="dxa"/>
                  <w:tcBorders>
                    <w:top w:val="single" w:color="auto" w:sz="4" w:space="0"/>
                    <w:left w:val="single" w:color="auto" w:sz="4" w:space="0"/>
                    <w:bottom w:val="single" w:color="auto" w:sz="4" w:space="0"/>
                    <w:right w:val="single" w:color="auto" w:sz="4" w:space="0"/>
                  </w:tcBorders>
                  <w:vAlign w:val="center"/>
                </w:tcPr>
                <w:p w14:paraId="58D8A53D">
                  <w:pPr>
                    <w:snapToGrid w:val="0"/>
                    <w:spacing w:before="120" w:after="120" w:line="280" w:lineRule="atLeast"/>
                    <w:jc w:val="both"/>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Freq Range</w:t>
                  </w:r>
                </w:p>
              </w:tc>
              <w:tc>
                <w:tcPr>
                  <w:tcW w:w="996" w:type="dxa"/>
                  <w:tcBorders>
                    <w:top w:val="single" w:color="auto" w:sz="4" w:space="0"/>
                    <w:left w:val="single" w:color="auto" w:sz="4" w:space="0"/>
                    <w:bottom w:val="single" w:color="auto" w:sz="4" w:space="0"/>
                    <w:right w:val="single" w:color="auto" w:sz="4" w:space="0"/>
                  </w:tcBorders>
                  <w:vAlign w:val="center"/>
                </w:tcPr>
                <w:p w14:paraId="0A47F5BF">
                  <w:pPr>
                    <w:snapToGrid w:val="0"/>
                    <w:spacing w:before="120" w:after="120" w:line="280" w:lineRule="atLeast"/>
                    <w:jc w:val="both"/>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Test</w:t>
                  </w:r>
                  <w:r>
                    <w:rPr>
                      <w:rFonts w:hint="default" w:ascii="Times New Roman" w:hAnsi="Times New Roman" w:eastAsia="Malgun Gothic" w:cs="Times New Roman"/>
                      <w:bCs/>
                      <w:sz w:val="20"/>
                      <w:szCs w:val="20"/>
                      <w:lang w:eastAsia="ko-KR"/>
                    </w:rPr>
                    <w:br w:type="textWrapping"/>
                  </w:r>
                  <w:r>
                    <w:rPr>
                      <w:rFonts w:hint="default" w:ascii="Times New Roman" w:hAnsi="Times New Roman" w:cs="Times New Roman"/>
                      <w:bCs/>
                      <w:sz w:val="20"/>
                      <w:szCs w:val="20"/>
                      <w:lang w:eastAsia="en-GB"/>
                    </w:rPr>
                    <w:t>method</w:t>
                  </w:r>
                </w:p>
              </w:tc>
              <w:tc>
                <w:tcPr>
                  <w:tcW w:w="1206" w:type="dxa"/>
                  <w:tcBorders>
                    <w:top w:val="single" w:color="auto" w:sz="4" w:space="0"/>
                    <w:left w:val="single" w:color="auto" w:sz="4" w:space="0"/>
                    <w:bottom w:val="single" w:color="auto" w:sz="4" w:space="0"/>
                    <w:right w:val="single" w:color="auto" w:sz="4" w:space="0"/>
                  </w:tcBorders>
                  <w:vAlign w:val="center"/>
                </w:tcPr>
                <w:p w14:paraId="05AB5909">
                  <w:pPr>
                    <w:snapToGrid w:val="0"/>
                    <w:spacing w:before="120" w:after="120" w:line="280" w:lineRule="atLeast"/>
                    <w:jc w:val="both"/>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Channel model</w:t>
                  </w:r>
                  <w:r>
                    <w:rPr>
                      <w:rFonts w:hint="default" w:ascii="Times New Roman" w:hAnsi="Times New Roman" w:eastAsia="Malgun Gothic" w:cs="Times New Roman"/>
                      <w:bCs/>
                      <w:sz w:val="20"/>
                      <w:szCs w:val="20"/>
                      <w:lang w:eastAsia="ko-KR"/>
                    </w:rPr>
                    <w:br w:type="textWrapping"/>
                  </w:r>
                  <w:r>
                    <w:rPr>
                      <w:rFonts w:hint="default" w:ascii="Times New Roman" w:hAnsi="Times New Roman" w:cs="Times New Roman"/>
                      <w:bCs/>
                      <w:sz w:val="20"/>
                      <w:szCs w:val="20"/>
                      <w:lang w:eastAsia="en-GB"/>
                    </w:rPr>
                    <w:t>(as start point)</w:t>
                  </w:r>
                </w:p>
              </w:tc>
              <w:tc>
                <w:tcPr>
                  <w:tcW w:w="1367" w:type="dxa"/>
                  <w:tcBorders>
                    <w:top w:val="single" w:color="auto" w:sz="4" w:space="0"/>
                    <w:left w:val="single" w:color="auto" w:sz="4" w:space="0"/>
                    <w:bottom w:val="single" w:color="auto" w:sz="4" w:space="0"/>
                    <w:right w:val="single" w:color="auto" w:sz="4" w:space="0"/>
                  </w:tcBorders>
                  <w:vAlign w:val="center"/>
                </w:tcPr>
                <w:p w14:paraId="19836E09">
                  <w:pPr>
                    <w:snapToGrid w:val="0"/>
                    <w:spacing w:before="120" w:after="120" w:line="280" w:lineRule="atLeast"/>
                    <w:jc w:val="both"/>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Min</w:t>
                  </w:r>
                  <w:r>
                    <w:rPr>
                      <w:rFonts w:hint="default" w:ascii="Times New Roman" w:hAnsi="Times New Roman" w:eastAsia="Malgun Gothic" w:cs="Times New Roman"/>
                      <w:bCs/>
                      <w:sz w:val="20"/>
                      <w:szCs w:val="20"/>
                      <w:lang w:eastAsia="ko-KR"/>
                    </w:rPr>
                    <w:br w:type="textWrapping"/>
                  </w:r>
                  <w:r>
                    <w:rPr>
                      <w:rFonts w:hint="default" w:ascii="Times New Roman" w:hAnsi="Times New Roman" w:cs="Times New Roman"/>
                      <w:bCs/>
                      <w:sz w:val="20"/>
                      <w:szCs w:val="20"/>
                      <w:lang w:eastAsia="en-GB"/>
                    </w:rPr>
                    <w:t>cell</w:t>
                  </w:r>
                  <w:r>
                    <w:rPr>
                      <w:rFonts w:hint="default" w:ascii="Times New Roman" w:hAnsi="Times New Roman" w:eastAsia="Malgun Gothic" w:cs="Times New Roman"/>
                      <w:bCs/>
                      <w:sz w:val="20"/>
                      <w:szCs w:val="20"/>
                      <w:lang w:eastAsia="ko-KR"/>
                    </w:rPr>
                    <w:br w:type="textWrapping"/>
                  </w:r>
                  <w:r>
                    <w:rPr>
                      <w:rFonts w:hint="default" w:ascii="Times New Roman" w:hAnsi="Times New Roman" w:cs="Times New Roman"/>
                      <w:bCs/>
                      <w:sz w:val="20"/>
                      <w:szCs w:val="20"/>
                      <w:lang w:eastAsia="en-GB"/>
                    </w:rPr>
                    <w:t>number</w:t>
                  </w:r>
                </w:p>
              </w:tc>
              <w:tc>
                <w:tcPr>
                  <w:tcW w:w="766" w:type="dxa"/>
                  <w:tcBorders>
                    <w:top w:val="single" w:color="auto" w:sz="4" w:space="0"/>
                    <w:left w:val="single" w:color="auto" w:sz="4" w:space="0"/>
                    <w:bottom w:val="single" w:color="auto" w:sz="4" w:space="0"/>
                    <w:right w:val="single" w:color="auto" w:sz="4" w:space="0"/>
                  </w:tcBorders>
                  <w:vAlign w:val="center"/>
                </w:tcPr>
                <w:p w14:paraId="622118D9">
                  <w:pPr>
                    <w:snapToGrid w:val="0"/>
                    <w:spacing w:before="120" w:after="120" w:line="280" w:lineRule="atLeast"/>
                    <w:jc w:val="both"/>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Min</w:t>
                  </w:r>
                  <w:r>
                    <w:rPr>
                      <w:rFonts w:hint="default" w:ascii="Times New Roman" w:hAnsi="Times New Roman" w:eastAsia="Malgun Gothic" w:cs="Times New Roman"/>
                      <w:bCs/>
                      <w:sz w:val="20"/>
                      <w:szCs w:val="20"/>
                      <w:lang w:eastAsia="ko-KR"/>
                    </w:rPr>
                    <w:t>.</w:t>
                  </w:r>
                  <w:r>
                    <w:rPr>
                      <w:rFonts w:hint="default" w:ascii="Times New Roman" w:hAnsi="Times New Roman" w:cs="Times New Roman"/>
                      <w:bCs/>
                      <w:sz w:val="20"/>
                      <w:szCs w:val="20"/>
                      <w:lang w:eastAsia="en-GB"/>
                    </w:rPr>
                    <w:t xml:space="preserve"> probe number</w:t>
                  </w:r>
                </w:p>
              </w:tc>
              <w:tc>
                <w:tcPr>
                  <w:tcW w:w="866" w:type="dxa"/>
                  <w:tcBorders>
                    <w:top w:val="single" w:color="auto" w:sz="4" w:space="0"/>
                    <w:left w:val="single" w:color="auto" w:sz="4" w:space="0"/>
                    <w:bottom w:val="single" w:color="auto" w:sz="4" w:space="0"/>
                    <w:right w:val="single" w:color="auto" w:sz="4" w:space="0"/>
                  </w:tcBorders>
                  <w:vAlign w:val="center"/>
                </w:tcPr>
                <w:p w14:paraId="2AC324E9">
                  <w:pPr>
                    <w:snapToGrid w:val="0"/>
                    <w:spacing w:before="120" w:after="120" w:line="280" w:lineRule="atLeast"/>
                    <w:jc w:val="center"/>
                    <w:rPr>
                      <w:rFonts w:hint="default" w:ascii="Times New Roman" w:hAnsi="Times New Roman" w:eastAsia="Malgun Gothic" w:cs="Times New Roman"/>
                      <w:bCs/>
                      <w:sz w:val="20"/>
                      <w:szCs w:val="20"/>
                      <w:lang w:eastAsia="ko-KR"/>
                    </w:rPr>
                  </w:pPr>
                  <w:r>
                    <w:rPr>
                      <w:rFonts w:hint="default" w:ascii="Times New Roman" w:hAnsi="Times New Roman" w:cs="Times New Roman"/>
                      <w:bCs/>
                      <w:sz w:val="20"/>
                      <w:szCs w:val="20"/>
                      <w:lang w:eastAsia="en-GB"/>
                    </w:rPr>
                    <w:t>SNR</w:t>
                  </w:r>
                </w:p>
              </w:tc>
              <w:tc>
                <w:tcPr>
                  <w:tcW w:w="1261" w:type="dxa"/>
                  <w:tcBorders>
                    <w:top w:val="single" w:color="auto" w:sz="4" w:space="0"/>
                    <w:left w:val="single" w:color="auto" w:sz="4" w:space="0"/>
                    <w:bottom w:val="single" w:color="auto" w:sz="4" w:space="0"/>
                    <w:right w:val="single" w:color="auto" w:sz="4" w:space="0"/>
                  </w:tcBorders>
                  <w:vAlign w:val="center"/>
                </w:tcPr>
                <w:p w14:paraId="1B6BBD96">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UE trajectory</w:t>
                  </w:r>
                </w:p>
              </w:tc>
            </w:tr>
            <w:tr w14:paraId="6D1B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9" w:type="dxa"/>
                  <w:vMerge w:val="restart"/>
                  <w:tcBorders>
                    <w:top w:val="single" w:color="auto" w:sz="4" w:space="0"/>
                    <w:left w:val="single" w:color="auto" w:sz="4" w:space="0"/>
                    <w:right w:val="single" w:color="auto" w:sz="4" w:space="0"/>
                  </w:tcBorders>
                  <w:vAlign w:val="center"/>
                </w:tcPr>
                <w:p w14:paraId="481A937C">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2</w:t>
                  </w:r>
                </w:p>
              </w:tc>
              <w:tc>
                <w:tcPr>
                  <w:tcW w:w="816" w:type="dxa"/>
                  <w:tcBorders>
                    <w:top w:val="single" w:color="auto" w:sz="4" w:space="0"/>
                    <w:left w:val="single" w:color="auto" w:sz="4" w:space="0"/>
                    <w:bottom w:val="single" w:color="auto" w:sz="4" w:space="0"/>
                    <w:right w:val="single" w:color="auto" w:sz="4" w:space="0"/>
                  </w:tcBorders>
                  <w:vAlign w:val="center"/>
                </w:tcPr>
                <w:p w14:paraId="3E98DD3B">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1</w:t>
                  </w:r>
                </w:p>
              </w:tc>
              <w:tc>
                <w:tcPr>
                  <w:tcW w:w="676" w:type="dxa"/>
                  <w:vMerge w:val="restart"/>
                  <w:tcBorders>
                    <w:top w:val="single" w:color="auto" w:sz="4" w:space="0"/>
                    <w:left w:val="single" w:color="auto" w:sz="4" w:space="0"/>
                    <w:right w:val="single" w:color="auto" w:sz="4" w:space="0"/>
                  </w:tcBorders>
                  <w:vAlign w:val="center"/>
                </w:tcPr>
                <w:p w14:paraId="096BEA77">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FR1</w:t>
                  </w:r>
                </w:p>
              </w:tc>
              <w:tc>
                <w:tcPr>
                  <w:tcW w:w="996" w:type="dxa"/>
                  <w:vMerge w:val="restart"/>
                  <w:tcBorders>
                    <w:top w:val="single" w:color="auto" w:sz="4" w:space="0"/>
                    <w:left w:val="single" w:color="auto" w:sz="4" w:space="0"/>
                    <w:right w:val="single" w:color="auto" w:sz="4" w:space="0"/>
                  </w:tcBorders>
                  <w:vAlign w:val="center"/>
                </w:tcPr>
                <w:p w14:paraId="0C0E9C65">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Conducted</w:t>
                  </w:r>
                </w:p>
              </w:tc>
              <w:tc>
                <w:tcPr>
                  <w:tcW w:w="1206" w:type="dxa"/>
                  <w:vMerge w:val="restart"/>
                  <w:tcBorders>
                    <w:top w:val="single" w:color="auto" w:sz="4" w:space="0"/>
                    <w:left w:val="single" w:color="auto" w:sz="4" w:space="0"/>
                    <w:right w:val="single" w:color="auto" w:sz="4" w:space="0"/>
                  </w:tcBorders>
                  <w:vAlign w:val="center"/>
                </w:tcPr>
                <w:p w14:paraId="279274E8">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AWGN/</w:t>
                  </w:r>
                  <w:r>
                    <w:rPr>
                      <w:rFonts w:hint="default" w:ascii="Times New Roman" w:hAnsi="Times New Roman" w:eastAsia="Malgun Gothic" w:cs="Times New Roman"/>
                      <w:bCs/>
                      <w:sz w:val="20"/>
                      <w:szCs w:val="20"/>
                      <w:lang w:eastAsia="ko-KR"/>
                    </w:rPr>
                    <w:br w:type="textWrapping"/>
                  </w:r>
                  <w:r>
                    <w:rPr>
                      <w:rFonts w:hint="default" w:ascii="Times New Roman" w:hAnsi="Times New Roman" w:cs="Times New Roman"/>
                      <w:bCs/>
                      <w:sz w:val="20"/>
                      <w:szCs w:val="20"/>
                      <w:lang w:eastAsia="en-GB"/>
                    </w:rPr>
                    <w:t>TDL</w:t>
                  </w:r>
                </w:p>
              </w:tc>
              <w:tc>
                <w:tcPr>
                  <w:tcW w:w="1367" w:type="dxa"/>
                  <w:tcBorders>
                    <w:top w:val="single" w:color="auto" w:sz="4" w:space="0"/>
                    <w:left w:val="single" w:color="auto" w:sz="4" w:space="0"/>
                    <w:right w:val="single" w:color="auto" w:sz="4" w:space="0"/>
                  </w:tcBorders>
                  <w:vAlign w:val="center"/>
                </w:tcPr>
                <w:p w14:paraId="389BB42F">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1 serving cell</w:t>
                  </w:r>
                </w:p>
              </w:tc>
              <w:tc>
                <w:tcPr>
                  <w:tcW w:w="766" w:type="dxa"/>
                  <w:vMerge w:val="restart"/>
                  <w:tcBorders>
                    <w:top w:val="single" w:color="auto" w:sz="4" w:space="0"/>
                    <w:left w:val="single" w:color="auto" w:sz="4" w:space="0"/>
                    <w:right w:val="single" w:color="auto" w:sz="4" w:space="0"/>
                  </w:tcBorders>
                  <w:vAlign w:val="center"/>
                </w:tcPr>
                <w:p w14:paraId="485C48FD">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N/A</w:t>
                  </w:r>
                </w:p>
              </w:tc>
              <w:tc>
                <w:tcPr>
                  <w:tcW w:w="866" w:type="dxa"/>
                  <w:vMerge w:val="restart"/>
                  <w:tcBorders>
                    <w:top w:val="single" w:color="auto" w:sz="4" w:space="0"/>
                    <w:left w:val="single" w:color="auto" w:sz="4" w:space="0"/>
                    <w:right w:val="single" w:color="auto" w:sz="4" w:space="0"/>
                  </w:tcBorders>
                  <w:vAlign w:val="center"/>
                </w:tcPr>
                <w:p w14:paraId="1768EA8E">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legacy SNR</w:t>
                  </w:r>
                </w:p>
              </w:tc>
              <w:tc>
                <w:tcPr>
                  <w:tcW w:w="1261" w:type="dxa"/>
                  <w:vMerge w:val="restart"/>
                  <w:tcBorders>
                    <w:top w:val="single" w:color="auto" w:sz="4" w:space="0"/>
                    <w:left w:val="single" w:color="auto" w:sz="4" w:space="0"/>
                    <w:right w:val="single" w:color="auto" w:sz="4" w:space="0"/>
                  </w:tcBorders>
                  <w:vAlign w:val="center"/>
                </w:tcPr>
                <w:p w14:paraId="2EFAF87E">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Change doppler and SNR</w:t>
                  </w:r>
                </w:p>
              </w:tc>
            </w:tr>
            <w:tr w14:paraId="6F0CF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9" w:type="dxa"/>
                  <w:vMerge w:val="continue"/>
                  <w:tcBorders>
                    <w:left w:val="single" w:color="auto" w:sz="4" w:space="0"/>
                    <w:bottom w:val="single" w:color="auto" w:sz="4" w:space="0"/>
                    <w:right w:val="single" w:color="auto" w:sz="4" w:space="0"/>
                  </w:tcBorders>
                  <w:vAlign w:val="center"/>
                </w:tcPr>
                <w:p w14:paraId="5DE2D31B">
                  <w:pPr>
                    <w:snapToGrid w:val="0"/>
                    <w:spacing w:before="120" w:after="120" w:line="280" w:lineRule="atLeast"/>
                    <w:jc w:val="center"/>
                    <w:rPr>
                      <w:rFonts w:hint="default" w:ascii="Times New Roman" w:hAnsi="Times New Roman" w:cs="Times New Roman"/>
                      <w:bCs/>
                      <w:sz w:val="20"/>
                      <w:szCs w:val="20"/>
                      <w:lang w:eastAsia="en-GB"/>
                    </w:rPr>
                  </w:pPr>
                </w:p>
              </w:tc>
              <w:tc>
                <w:tcPr>
                  <w:tcW w:w="816" w:type="dxa"/>
                  <w:tcBorders>
                    <w:top w:val="single" w:color="auto" w:sz="4" w:space="0"/>
                    <w:left w:val="single" w:color="auto" w:sz="4" w:space="0"/>
                    <w:bottom w:val="single" w:color="auto" w:sz="4" w:space="0"/>
                    <w:right w:val="single" w:color="auto" w:sz="4" w:space="0"/>
                  </w:tcBorders>
                  <w:vAlign w:val="center"/>
                </w:tcPr>
                <w:p w14:paraId="61C9908B">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2</w:t>
                  </w:r>
                </w:p>
              </w:tc>
              <w:tc>
                <w:tcPr>
                  <w:tcW w:w="676" w:type="dxa"/>
                  <w:vMerge w:val="continue"/>
                  <w:tcBorders>
                    <w:left w:val="single" w:color="auto" w:sz="4" w:space="0"/>
                    <w:bottom w:val="single" w:color="auto" w:sz="4" w:space="0"/>
                    <w:right w:val="single" w:color="auto" w:sz="4" w:space="0"/>
                  </w:tcBorders>
                  <w:vAlign w:val="center"/>
                </w:tcPr>
                <w:p w14:paraId="0CBB0741">
                  <w:pPr>
                    <w:snapToGrid w:val="0"/>
                    <w:spacing w:before="120" w:after="120" w:line="280" w:lineRule="atLeast"/>
                    <w:jc w:val="center"/>
                    <w:rPr>
                      <w:rFonts w:hint="default" w:ascii="Times New Roman" w:hAnsi="Times New Roman" w:cs="Times New Roman"/>
                      <w:bCs/>
                      <w:sz w:val="20"/>
                      <w:szCs w:val="20"/>
                      <w:lang w:eastAsia="en-GB"/>
                    </w:rPr>
                  </w:pPr>
                </w:p>
              </w:tc>
              <w:tc>
                <w:tcPr>
                  <w:tcW w:w="996" w:type="dxa"/>
                  <w:vMerge w:val="continue"/>
                  <w:tcBorders>
                    <w:left w:val="single" w:color="auto" w:sz="4" w:space="0"/>
                    <w:bottom w:val="single" w:color="auto" w:sz="4" w:space="0"/>
                    <w:right w:val="single" w:color="auto" w:sz="4" w:space="0"/>
                  </w:tcBorders>
                  <w:vAlign w:val="center"/>
                </w:tcPr>
                <w:p w14:paraId="7E120B85">
                  <w:pPr>
                    <w:snapToGrid w:val="0"/>
                    <w:spacing w:before="120" w:after="120" w:line="280" w:lineRule="atLeast"/>
                    <w:jc w:val="center"/>
                    <w:rPr>
                      <w:rFonts w:hint="default" w:ascii="Times New Roman" w:hAnsi="Times New Roman" w:cs="Times New Roman"/>
                      <w:bCs/>
                      <w:sz w:val="20"/>
                      <w:szCs w:val="20"/>
                      <w:lang w:eastAsia="en-GB"/>
                    </w:rPr>
                  </w:pPr>
                </w:p>
              </w:tc>
              <w:tc>
                <w:tcPr>
                  <w:tcW w:w="1206" w:type="dxa"/>
                  <w:vMerge w:val="continue"/>
                  <w:tcBorders>
                    <w:left w:val="single" w:color="auto" w:sz="4" w:space="0"/>
                    <w:bottom w:val="single" w:color="auto" w:sz="4" w:space="0"/>
                    <w:right w:val="single" w:color="auto" w:sz="4" w:space="0"/>
                  </w:tcBorders>
                  <w:vAlign w:val="center"/>
                </w:tcPr>
                <w:p w14:paraId="1550F564">
                  <w:pPr>
                    <w:snapToGrid w:val="0"/>
                    <w:spacing w:before="120" w:after="120" w:line="280" w:lineRule="atLeast"/>
                    <w:jc w:val="center"/>
                    <w:rPr>
                      <w:rFonts w:hint="default" w:ascii="Times New Roman" w:hAnsi="Times New Roman" w:cs="Times New Roman"/>
                      <w:bCs/>
                      <w:sz w:val="20"/>
                      <w:szCs w:val="20"/>
                      <w:lang w:eastAsia="en-GB"/>
                    </w:rPr>
                  </w:pPr>
                </w:p>
              </w:tc>
              <w:tc>
                <w:tcPr>
                  <w:tcW w:w="1367" w:type="dxa"/>
                  <w:tcBorders>
                    <w:left w:val="single" w:color="auto" w:sz="4" w:space="0"/>
                    <w:bottom w:val="single" w:color="auto" w:sz="4" w:space="0"/>
                    <w:right w:val="single" w:color="auto" w:sz="4" w:space="0"/>
                  </w:tcBorders>
                  <w:vAlign w:val="center"/>
                </w:tcPr>
                <w:p w14:paraId="5DE2AB68">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2 (1 serving cell, 1 neighbor cell)</w:t>
                  </w:r>
                </w:p>
              </w:tc>
              <w:tc>
                <w:tcPr>
                  <w:tcW w:w="766" w:type="dxa"/>
                  <w:vMerge w:val="continue"/>
                  <w:tcBorders>
                    <w:left w:val="single" w:color="auto" w:sz="4" w:space="0"/>
                    <w:bottom w:val="single" w:color="auto" w:sz="4" w:space="0"/>
                    <w:right w:val="single" w:color="auto" w:sz="4" w:space="0"/>
                  </w:tcBorders>
                  <w:vAlign w:val="center"/>
                </w:tcPr>
                <w:p w14:paraId="5BD6A9D1">
                  <w:pPr>
                    <w:snapToGrid w:val="0"/>
                    <w:spacing w:before="120" w:after="120" w:line="280" w:lineRule="atLeast"/>
                    <w:jc w:val="center"/>
                    <w:rPr>
                      <w:rFonts w:hint="default" w:ascii="Times New Roman" w:hAnsi="Times New Roman" w:cs="Times New Roman"/>
                      <w:bCs/>
                      <w:sz w:val="20"/>
                      <w:szCs w:val="20"/>
                      <w:lang w:eastAsia="en-GB"/>
                    </w:rPr>
                  </w:pPr>
                </w:p>
              </w:tc>
              <w:tc>
                <w:tcPr>
                  <w:tcW w:w="866" w:type="dxa"/>
                  <w:vMerge w:val="continue"/>
                  <w:tcBorders>
                    <w:left w:val="single" w:color="auto" w:sz="4" w:space="0"/>
                    <w:bottom w:val="single" w:color="auto" w:sz="4" w:space="0"/>
                    <w:right w:val="single" w:color="auto" w:sz="4" w:space="0"/>
                  </w:tcBorders>
                  <w:vAlign w:val="center"/>
                </w:tcPr>
                <w:p w14:paraId="553DAC7D">
                  <w:pPr>
                    <w:snapToGrid w:val="0"/>
                    <w:spacing w:before="120" w:after="120" w:line="280" w:lineRule="atLeast"/>
                    <w:jc w:val="center"/>
                    <w:rPr>
                      <w:rFonts w:hint="default" w:ascii="Times New Roman" w:hAnsi="Times New Roman" w:cs="Times New Roman"/>
                      <w:bCs/>
                      <w:sz w:val="20"/>
                      <w:szCs w:val="20"/>
                      <w:lang w:eastAsia="en-GB"/>
                    </w:rPr>
                  </w:pPr>
                </w:p>
              </w:tc>
              <w:tc>
                <w:tcPr>
                  <w:tcW w:w="1261" w:type="dxa"/>
                  <w:vMerge w:val="continue"/>
                  <w:tcBorders>
                    <w:left w:val="single" w:color="auto" w:sz="4" w:space="0"/>
                    <w:bottom w:val="single" w:color="auto" w:sz="4" w:space="0"/>
                    <w:right w:val="single" w:color="auto" w:sz="4" w:space="0"/>
                  </w:tcBorders>
                  <w:vAlign w:val="center"/>
                </w:tcPr>
                <w:p w14:paraId="3A0F1106">
                  <w:pPr>
                    <w:snapToGrid w:val="0"/>
                    <w:spacing w:before="120" w:after="120" w:line="280" w:lineRule="atLeast"/>
                    <w:jc w:val="center"/>
                    <w:rPr>
                      <w:rFonts w:hint="default" w:ascii="Times New Roman" w:hAnsi="Times New Roman" w:cs="Times New Roman"/>
                      <w:bCs/>
                      <w:sz w:val="20"/>
                      <w:szCs w:val="20"/>
                      <w:lang w:eastAsia="en-GB"/>
                    </w:rPr>
                  </w:pPr>
                </w:p>
              </w:tc>
            </w:tr>
            <w:tr w14:paraId="1FA6A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9" w:type="dxa"/>
                  <w:vMerge w:val="restart"/>
                  <w:tcBorders>
                    <w:top w:val="single" w:color="auto" w:sz="4" w:space="0"/>
                    <w:left w:val="single" w:color="auto" w:sz="4" w:space="0"/>
                    <w:right w:val="single" w:color="auto" w:sz="4" w:space="0"/>
                  </w:tcBorders>
                  <w:vAlign w:val="center"/>
                </w:tcPr>
                <w:p w14:paraId="5F521A73">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3</w:t>
                  </w:r>
                </w:p>
              </w:tc>
              <w:tc>
                <w:tcPr>
                  <w:tcW w:w="816" w:type="dxa"/>
                  <w:tcBorders>
                    <w:top w:val="single" w:color="auto" w:sz="4" w:space="0"/>
                    <w:left w:val="single" w:color="auto" w:sz="4" w:space="0"/>
                    <w:bottom w:val="single" w:color="auto" w:sz="4" w:space="0"/>
                    <w:right w:val="single" w:color="auto" w:sz="4" w:space="0"/>
                  </w:tcBorders>
                  <w:vAlign w:val="center"/>
                </w:tcPr>
                <w:p w14:paraId="6BCDA164">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1</w:t>
                  </w:r>
                </w:p>
              </w:tc>
              <w:tc>
                <w:tcPr>
                  <w:tcW w:w="676" w:type="dxa"/>
                  <w:vMerge w:val="restart"/>
                  <w:tcBorders>
                    <w:top w:val="single" w:color="auto" w:sz="4" w:space="0"/>
                    <w:left w:val="single" w:color="auto" w:sz="4" w:space="0"/>
                    <w:right w:val="single" w:color="auto" w:sz="4" w:space="0"/>
                  </w:tcBorders>
                  <w:vAlign w:val="center"/>
                </w:tcPr>
                <w:p w14:paraId="4AB55D95">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FR1</w:t>
                  </w:r>
                </w:p>
              </w:tc>
              <w:tc>
                <w:tcPr>
                  <w:tcW w:w="996" w:type="dxa"/>
                  <w:vMerge w:val="restart"/>
                  <w:tcBorders>
                    <w:top w:val="single" w:color="auto" w:sz="4" w:space="0"/>
                    <w:left w:val="single" w:color="auto" w:sz="4" w:space="0"/>
                    <w:right w:val="single" w:color="auto" w:sz="4" w:space="0"/>
                  </w:tcBorders>
                  <w:vAlign w:val="center"/>
                </w:tcPr>
                <w:p w14:paraId="2AD3F878">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Conducted</w:t>
                  </w:r>
                </w:p>
              </w:tc>
              <w:tc>
                <w:tcPr>
                  <w:tcW w:w="1206" w:type="dxa"/>
                  <w:vMerge w:val="restart"/>
                  <w:tcBorders>
                    <w:top w:val="single" w:color="auto" w:sz="4" w:space="0"/>
                    <w:left w:val="single" w:color="auto" w:sz="4" w:space="0"/>
                    <w:right w:val="single" w:color="auto" w:sz="4" w:space="0"/>
                  </w:tcBorders>
                  <w:vAlign w:val="center"/>
                </w:tcPr>
                <w:p w14:paraId="20EFD72E">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AWGN/</w:t>
                  </w:r>
                  <w:r>
                    <w:rPr>
                      <w:rFonts w:hint="default" w:ascii="Times New Roman" w:hAnsi="Times New Roman" w:eastAsia="Malgun Gothic" w:cs="Times New Roman"/>
                      <w:bCs/>
                      <w:sz w:val="20"/>
                      <w:szCs w:val="20"/>
                      <w:lang w:eastAsia="ko-KR"/>
                    </w:rPr>
                    <w:br w:type="textWrapping"/>
                  </w:r>
                  <w:r>
                    <w:rPr>
                      <w:rFonts w:hint="default" w:ascii="Times New Roman" w:hAnsi="Times New Roman" w:cs="Times New Roman"/>
                      <w:bCs/>
                      <w:sz w:val="20"/>
                      <w:szCs w:val="20"/>
                      <w:lang w:eastAsia="en-GB"/>
                    </w:rPr>
                    <w:t>TDL</w:t>
                  </w:r>
                </w:p>
              </w:tc>
              <w:tc>
                <w:tcPr>
                  <w:tcW w:w="1367" w:type="dxa"/>
                  <w:tcBorders>
                    <w:top w:val="single" w:color="auto" w:sz="4" w:space="0"/>
                    <w:left w:val="single" w:color="auto" w:sz="4" w:space="0"/>
                    <w:right w:val="single" w:color="auto" w:sz="4" w:space="0"/>
                  </w:tcBorders>
                  <w:vAlign w:val="center"/>
                </w:tcPr>
                <w:p w14:paraId="2C1ED368">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2 (1 serving cell, 1 neighbor cell)</w:t>
                  </w:r>
                </w:p>
              </w:tc>
              <w:tc>
                <w:tcPr>
                  <w:tcW w:w="766" w:type="dxa"/>
                  <w:vMerge w:val="restart"/>
                  <w:tcBorders>
                    <w:top w:val="single" w:color="auto" w:sz="4" w:space="0"/>
                    <w:left w:val="single" w:color="auto" w:sz="4" w:space="0"/>
                    <w:right w:val="single" w:color="auto" w:sz="4" w:space="0"/>
                  </w:tcBorders>
                  <w:vAlign w:val="center"/>
                </w:tcPr>
                <w:p w14:paraId="35A11280">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N/A</w:t>
                  </w:r>
                </w:p>
              </w:tc>
              <w:tc>
                <w:tcPr>
                  <w:tcW w:w="866" w:type="dxa"/>
                  <w:vMerge w:val="restart"/>
                  <w:tcBorders>
                    <w:top w:val="single" w:color="auto" w:sz="4" w:space="0"/>
                    <w:left w:val="single" w:color="auto" w:sz="4" w:space="0"/>
                    <w:right w:val="single" w:color="auto" w:sz="4" w:space="0"/>
                  </w:tcBorders>
                  <w:vAlign w:val="center"/>
                </w:tcPr>
                <w:p w14:paraId="7F4F8A8B">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legacy SNR</w:t>
                  </w:r>
                </w:p>
              </w:tc>
              <w:tc>
                <w:tcPr>
                  <w:tcW w:w="1261" w:type="dxa"/>
                  <w:vMerge w:val="restart"/>
                  <w:tcBorders>
                    <w:top w:val="single" w:color="auto" w:sz="4" w:space="0"/>
                    <w:left w:val="single" w:color="auto" w:sz="4" w:space="0"/>
                    <w:right w:val="single" w:color="auto" w:sz="4" w:space="0"/>
                  </w:tcBorders>
                  <w:vAlign w:val="center"/>
                </w:tcPr>
                <w:p w14:paraId="2982F2BB">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Change doppler and SNR</w:t>
                  </w:r>
                </w:p>
              </w:tc>
            </w:tr>
            <w:tr w14:paraId="774A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59" w:type="dxa"/>
                  <w:vMerge w:val="continue"/>
                  <w:tcBorders>
                    <w:left w:val="single" w:color="auto" w:sz="4" w:space="0"/>
                    <w:bottom w:val="single" w:color="auto" w:sz="4" w:space="0"/>
                    <w:right w:val="single" w:color="auto" w:sz="4" w:space="0"/>
                  </w:tcBorders>
                  <w:vAlign w:val="center"/>
                </w:tcPr>
                <w:p w14:paraId="57C939F4">
                  <w:pPr>
                    <w:snapToGrid w:val="0"/>
                    <w:spacing w:before="120" w:after="120" w:line="280" w:lineRule="atLeast"/>
                    <w:jc w:val="center"/>
                    <w:rPr>
                      <w:rFonts w:hint="default" w:ascii="Times New Roman" w:hAnsi="Times New Roman" w:cs="Times New Roman"/>
                      <w:bCs/>
                      <w:sz w:val="20"/>
                      <w:szCs w:val="20"/>
                      <w:lang w:eastAsia="en-GB"/>
                    </w:rPr>
                  </w:pPr>
                </w:p>
              </w:tc>
              <w:tc>
                <w:tcPr>
                  <w:tcW w:w="816" w:type="dxa"/>
                  <w:tcBorders>
                    <w:top w:val="single" w:color="auto" w:sz="4" w:space="0"/>
                    <w:left w:val="single" w:color="auto" w:sz="4" w:space="0"/>
                    <w:bottom w:val="single" w:color="auto" w:sz="4" w:space="0"/>
                    <w:right w:val="single" w:color="auto" w:sz="4" w:space="0"/>
                  </w:tcBorders>
                  <w:vAlign w:val="center"/>
                </w:tcPr>
                <w:p w14:paraId="5DC11E21">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2</w:t>
                  </w:r>
                </w:p>
              </w:tc>
              <w:tc>
                <w:tcPr>
                  <w:tcW w:w="676" w:type="dxa"/>
                  <w:vMerge w:val="continue"/>
                  <w:tcBorders>
                    <w:left w:val="single" w:color="auto" w:sz="4" w:space="0"/>
                    <w:bottom w:val="single" w:color="auto" w:sz="4" w:space="0"/>
                    <w:right w:val="single" w:color="auto" w:sz="4" w:space="0"/>
                  </w:tcBorders>
                  <w:vAlign w:val="center"/>
                </w:tcPr>
                <w:p w14:paraId="54ADC5AF">
                  <w:pPr>
                    <w:snapToGrid w:val="0"/>
                    <w:spacing w:before="120" w:after="120" w:line="280" w:lineRule="atLeast"/>
                    <w:jc w:val="center"/>
                    <w:rPr>
                      <w:rFonts w:hint="default" w:ascii="Times New Roman" w:hAnsi="Times New Roman" w:cs="Times New Roman"/>
                      <w:bCs/>
                      <w:sz w:val="20"/>
                      <w:szCs w:val="20"/>
                      <w:lang w:eastAsia="en-GB"/>
                    </w:rPr>
                  </w:pPr>
                </w:p>
              </w:tc>
              <w:tc>
                <w:tcPr>
                  <w:tcW w:w="996" w:type="dxa"/>
                  <w:vMerge w:val="continue"/>
                  <w:tcBorders>
                    <w:left w:val="single" w:color="auto" w:sz="4" w:space="0"/>
                    <w:bottom w:val="single" w:color="auto" w:sz="4" w:space="0"/>
                    <w:right w:val="single" w:color="auto" w:sz="4" w:space="0"/>
                  </w:tcBorders>
                  <w:vAlign w:val="center"/>
                </w:tcPr>
                <w:p w14:paraId="2985A16B">
                  <w:pPr>
                    <w:snapToGrid w:val="0"/>
                    <w:spacing w:before="120" w:after="120" w:line="280" w:lineRule="atLeast"/>
                    <w:jc w:val="center"/>
                    <w:rPr>
                      <w:rFonts w:hint="default" w:ascii="Times New Roman" w:hAnsi="Times New Roman" w:cs="Times New Roman"/>
                      <w:bCs/>
                      <w:sz w:val="20"/>
                      <w:szCs w:val="20"/>
                      <w:lang w:eastAsia="en-GB"/>
                    </w:rPr>
                  </w:pPr>
                </w:p>
              </w:tc>
              <w:tc>
                <w:tcPr>
                  <w:tcW w:w="1206" w:type="dxa"/>
                  <w:vMerge w:val="continue"/>
                  <w:tcBorders>
                    <w:left w:val="single" w:color="auto" w:sz="4" w:space="0"/>
                    <w:bottom w:val="single" w:color="auto" w:sz="4" w:space="0"/>
                    <w:right w:val="single" w:color="auto" w:sz="4" w:space="0"/>
                  </w:tcBorders>
                  <w:vAlign w:val="center"/>
                </w:tcPr>
                <w:p w14:paraId="068E4D5B">
                  <w:pPr>
                    <w:snapToGrid w:val="0"/>
                    <w:spacing w:before="120" w:after="120" w:line="280" w:lineRule="atLeast"/>
                    <w:jc w:val="center"/>
                    <w:rPr>
                      <w:rFonts w:hint="default" w:ascii="Times New Roman" w:hAnsi="Times New Roman" w:cs="Times New Roman"/>
                      <w:bCs/>
                      <w:sz w:val="20"/>
                      <w:szCs w:val="20"/>
                      <w:lang w:eastAsia="en-GB"/>
                    </w:rPr>
                  </w:pPr>
                </w:p>
              </w:tc>
              <w:tc>
                <w:tcPr>
                  <w:tcW w:w="1367" w:type="dxa"/>
                  <w:tcBorders>
                    <w:left w:val="single" w:color="auto" w:sz="4" w:space="0"/>
                    <w:bottom w:val="single" w:color="auto" w:sz="4" w:space="0"/>
                    <w:right w:val="single" w:color="auto" w:sz="4" w:space="0"/>
                  </w:tcBorders>
                  <w:vAlign w:val="center"/>
                </w:tcPr>
                <w:p w14:paraId="1C3A5A7A">
                  <w:pPr>
                    <w:snapToGrid w:val="0"/>
                    <w:spacing w:before="120" w:after="120" w:line="280" w:lineRule="atLeast"/>
                    <w:jc w:val="center"/>
                    <w:rPr>
                      <w:rFonts w:hint="default" w:ascii="Times New Roman" w:hAnsi="Times New Roman" w:cs="Times New Roman"/>
                      <w:bCs/>
                      <w:sz w:val="20"/>
                      <w:szCs w:val="20"/>
                      <w:lang w:eastAsia="en-GB"/>
                    </w:rPr>
                  </w:pPr>
                  <w:r>
                    <w:rPr>
                      <w:rFonts w:hint="default" w:ascii="Times New Roman" w:hAnsi="Times New Roman" w:cs="Times New Roman"/>
                      <w:bCs/>
                      <w:sz w:val="20"/>
                      <w:szCs w:val="20"/>
                      <w:lang w:eastAsia="en-GB"/>
                    </w:rPr>
                    <w:t>3 (2 co-located neighbor cell, 1 serving cell)</w:t>
                  </w:r>
                </w:p>
              </w:tc>
              <w:tc>
                <w:tcPr>
                  <w:tcW w:w="766" w:type="dxa"/>
                  <w:vMerge w:val="continue"/>
                  <w:tcBorders>
                    <w:left w:val="single" w:color="auto" w:sz="4" w:space="0"/>
                    <w:bottom w:val="single" w:color="auto" w:sz="4" w:space="0"/>
                    <w:right w:val="single" w:color="auto" w:sz="4" w:space="0"/>
                  </w:tcBorders>
                  <w:vAlign w:val="center"/>
                </w:tcPr>
                <w:p w14:paraId="05ADB990">
                  <w:pPr>
                    <w:snapToGrid w:val="0"/>
                    <w:spacing w:before="120" w:after="120" w:line="280" w:lineRule="atLeast"/>
                    <w:jc w:val="center"/>
                    <w:rPr>
                      <w:rFonts w:hint="default" w:ascii="Times New Roman" w:hAnsi="Times New Roman" w:cs="Times New Roman"/>
                      <w:bCs/>
                      <w:sz w:val="20"/>
                      <w:szCs w:val="20"/>
                      <w:lang w:eastAsia="en-GB"/>
                    </w:rPr>
                  </w:pPr>
                </w:p>
              </w:tc>
              <w:tc>
                <w:tcPr>
                  <w:tcW w:w="866" w:type="dxa"/>
                  <w:vMerge w:val="continue"/>
                  <w:tcBorders>
                    <w:left w:val="single" w:color="auto" w:sz="4" w:space="0"/>
                    <w:bottom w:val="single" w:color="auto" w:sz="4" w:space="0"/>
                    <w:right w:val="single" w:color="auto" w:sz="4" w:space="0"/>
                  </w:tcBorders>
                  <w:vAlign w:val="center"/>
                </w:tcPr>
                <w:p w14:paraId="74B48879">
                  <w:pPr>
                    <w:snapToGrid w:val="0"/>
                    <w:spacing w:before="120" w:after="120" w:line="280" w:lineRule="atLeast"/>
                    <w:jc w:val="center"/>
                    <w:rPr>
                      <w:rFonts w:hint="default" w:ascii="Times New Roman" w:hAnsi="Times New Roman" w:cs="Times New Roman"/>
                      <w:bCs/>
                      <w:sz w:val="20"/>
                      <w:szCs w:val="20"/>
                      <w:lang w:eastAsia="en-GB"/>
                    </w:rPr>
                  </w:pPr>
                </w:p>
              </w:tc>
              <w:tc>
                <w:tcPr>
                  <w:tcW w:w="1261" w:type="dxa"/>
                  <w:vMerge w:val="continue"/>
                  <w:tcBorders>
                    <w:left w:val="single" w:color="auto" w:sz="4" w:space="0"/>
                    <w:bottom w:val="single" w:color="auto" w:sz="4" w:space="0"/>
                    <w:right w:val="single" w:color="auto" w:sz="4" w:space="0"/>
                  </w:tcBorders>
                  <w:vAlign w:val="center"/>
                </w:tcPr>
                <w:p w14:paraId="4CE48EE1">
                  <w:pPr>
                    <w:snapToGrid w:val="0"/>
                    <w:spacing w:before="120" w:after="120" w:line="280" w:lineRule="atLeast"/>
                    <w:jc w:val="center"/>
                    <w:rPr>
                      <w:rFonts w:hint="default" w:ascii="Times New Roman" w:hAnsi="Times New Roman" w:cs="Times New Roman"/>
                      <w:bCs/>
                      <w:sz w:val="20"/>
                      <w:szCs w:val="20"/>
                      <w:lang w:eastAsia="en-GB"/>
                    </w:rPr>
                  </w:pPr>
                </w:p>
              </w:tc>
            </w:tr>
          </w:tbl>
          <w:p w14:paraId="0DBA86F8">
            <w:pPr>
              <w:rPr>
                <w:rFonts w:hint="default" w:ascii="Times New Roman" w:hAnsi="Times New Roman" w:cs="Times New Roman"/>
                <w:sz w:val="20"/>
                <w:szCs w:val="20"/>
              </w:rPr>
            </w:pPr>
          </w:p>
          <w:p w14:paraId="4756B725">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4 (Apple):</w:t>
            </w:r>
          </w:p>
          <w:p w14:paraId="64BCEC3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Define multiple test iterations, each designed to reflect unique, time-varying conditions such as reception power and SNR influenced by UE trajectory, to ensure coverage of potential conditions in AI/ML-assisted mobility scenarios</w:t>
            </w:r>
          </w:p>
          <w:p w14:paraId="3EBE0744">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5 (ZTE):</w:t>
            </w:r>
          </w:p>
          <w:p w14:paraId="40171C9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testability discussion of sub-use-case 1 (L1-L1) and sub-use-case 3 (L1-L3) should wait the progress of the testability study in AI-BM. And RAN4 can start the discussion on sub-use-case 2 (L3-L3).</w:t>
            </w:r>
            <w:r>
              <w:rPr>
                <w:rFonts w:hint="default" w:ascii="Times New Roman" w:hAnsi="Times New Roman" w:cs="Times New Roman"/>
                <w:sz w:val="20"/>
                <w:szCs w:val="20"/>
              </w:rPr>
              <w:t xml:space="preserve"> </w:t>
            </w:r>
          </w:p>
          <w:p w14:paraId="1B71A106">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cs="Times New Roman"/>
                <w:sz w:val="20"/>
                <w:szCs w:val="20"/>
              </w:rPr>
              <w:t>U</w:t>
            </w:r>
            <w:r>
              <w:rPr>
                <w:rFonts w:hint="default" w:ascii="Times New Roman" w:hAnsi="Times New Roman" w:eastAsia="Yu Mincho" w:cs="Times New Roman"/>
                <w:sz w:val="20"/>
                <w:szCs w:val="20"/>
              </w:rPr>
              <w:t>se AWGN/TDL channel model as baseline.</w:t>
            </w:r>
          </w:p>
          <w:p w14:paraId="68445E23">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Discuss how to reflect randomness and variability in the testing process, such as reception power and SNR influenced by mobility</w:t>
            </w:r>
          </w:p>
          <w:p w14:paraId="13A844D2">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Consider core part and performance part requirements, i.e. measurement delay and measurement accuracy</w:t>
            </w:r>
          </w:p>
          <w:p w14:paraId="516A7116">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Discuss numbers of Tx beam/SSBs to be configured and the number of cell to be measured for AI/ML mobility</w:t>
            </w:r>
          </w:p>
          <w:p w14:paraId="31613216">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6 (MediaTek):</w:t>
            </w:r>
          </w:p>
          <w:p w14:paraId="78CB4B8F">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Adopt computer simulations alike test setup for AI mobility test, e.g., the power transmitted at TE on each cell is determined, and the TE transmits the signals of cell 1, 2, 3 with time-variance following a certain channel model.</w:t>
            </w:r>
          </w:p>
          <w:p w14:paraId="2A1E976D">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7 (Xiaomi):</w:t>
            </w:r>
          </w:p>
          <w:p w14:paraId="4D2DCE9F">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testing in FR1 RRM measurement prediction, the configuration of TDL channel model can be considered.</w:t>
            </w:r>
          </w:p>
          <w:p w14:paraId="15183714">
            <w:pPr>
              <w:numPr>
                <w:ilvl w:val="1"/>
                <w:numId w:val="4"/>
              </w:numPr>
              <w:autoSpaceDE w:val="0"/>
              <w:autoSpaceDN w:val="0"/>
              <w:adjustRightInd w:val="0"/>
              <w:snapToGrid w:val="0"/>
              <w:spacing w:before="120" w:after="120"/>
              <w:ind w:left="1656"/>
              <w:jc w:val="both"/>
              <w:rPr>
                <w:rFonts w:hint="default" w:ascii="Times New Roman" w:hAnsi="Times New Roman" w:cs="Times New Roman"/>
                <w:iCs/>
                <w:sz w:val="20"/>
                <w:szCs w:val="20"/>
                <w:lang w:val="en-GB"/>
              </w:rPr>
            </w:pPr>
            <w:r>
              <w:rPr>
                <w:rFonts w:hint="default" w:ascii="Times New Roman" w:hAnsi="Times New Roman" w:eastAsia="Malgun Gothic" w:cs="Times New Roman"/>
                <w:iCs/>
                <w:sz w:val="20"/>
                <w:szCs w:val="20"/>
                <w:lang w:val="en-GB" w:eastAsia="ko-KR"/>
              </w:rPr>
              <w:t>Proposal 8 (CATT):</w:t>
            </w:r>
          </w:p>
          <w:p w14:paraId="1D5D3C09">
            <w:pPr>
              <w:numPr>
                <w:ilvl w:val="2"/>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 xml:space="preserve">RAN4 configures one SSB per cell and the measured RSRP results are regarded as cell-level RSRPs </w:t>
            </w:r>
          </w:p>
          <w:p w14:paraId="3C82B3BB">
            <w:pPr>
              <w:numPr>
                <w:ilvl w:val="2"/>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AWGN or TDL channel can be used in FR1 conducted test</w:t>
            </w:r>
          </w:p>
          <w:p w14:paraId="7D35F29C">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9 (OPPO):</w:t>
            </w:r>
          </w:p>
          <w:p w14:paraId="0DE34BCC">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 xml:space="preserve">Include L3 filter coefficient as part of the testing side conditions </w:t>
            </w:r>
          </w:p>
          <w:p w14:paraId="6AD0ED8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Discuss</w:t>
            </w:r>
            <w:r>
              <w:rPr>
                <w:rFonts w:hint="default" w:ascii="Times New Roman" w:hAnsi="Times New Roman" w:eastAsia="Yu Mincho" w:cs="Times New Roman"/>
                <w:sz w:val="20"/>
                <w:szCs w:val="20"/>
              </w:rPr>
              <w:t xml:space="preserve"> how to setup the measurement configurations (</w:t>
            </w:r>
            <w:bookmarkStart w:id="9" w:name="_Hlk194568035"/>
            <w:r>
              <w:rPr>
                <w:rFonts w:hint="default" w:ascii="Times New Roman" w:hAnsi="Times New Roman" w:eastAsia="Yu Mincho" w:cs="Times New Roman"/>
                <w:sz w:val="20"/>
                <w:szCs w:val="20"/>
              </w:rPr>
              <w:t>e.g., OW, PW, MRRT, etc.</w:t>
            </w:r>
            <w:bookmarkEnd w:id="9"/>
            <w:r>
              <w:rPr>
                <w:rFonts w:hint="default" w:ascii="Times New Roman" w:hAnsi="Times New Roman" w:eastAsia="Yu Mincho" w:cs="Times New Roman"/>
                <w:sz w:val="20"/>
                <w:szCs w:val="20"/>
              </w:rPr>
              <w:t>) in the tests based on the sets of requirements.</w:t>
            </w:r>
          </w:p>
          <w:p w14:paraId="2D14B4E9">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intra frequency measurement prediction, consider 2 cells (serving cell and one neighbor cell) in the testing setup. </w:t>
            </w:r>
          </w:p>
          <w:p w14:paraId="70BF1199">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inter frequency measurement prediction, more than 3 cells are needed if cluster approach is assumed and the exact number can be decided in WI stage according to the requirements discussion. </w:t>
            </w:r>
          </w:p>
          <w:p w14:paraId="2D6D4D9A">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10 (CMCC):</w:t>
            </w:r>
          </w:p>
          <w:p w14:paraId="11819CF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test on intra-frequency temporal domain prediction (scenario 2 and 4), the test setup for legacy mobility can be used as baseline but with modification, since test setup for legacy mobility is based on two cells while AI/ML test targets for intra-cell</w:t>
            </w:r>
          </w:p>
          <w:p w14:paraId="46D82159">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test on inter-frequency frequency domain prediction (scenario 3), it is proposed to discuss how to update leagcy test setup based on two cells, since RAN2 agree to focus on frequency domain for cluster based approach.   </w:t>
            </w:r>
          </w:p>
          <w:p w14:paraId="57668519">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11 (Samsung):</w:t>
            </w:r>
          </w:p>
          <w:p w14:paraId="3F5366AC">
            <w:pPr>
              <w:pStyle w:val="12"/>
              <w:numPr>
                <w:ilvl w:val="2"/>
                <w:numId w:val="4"/>
              </w:numPr>
              <w:spacing w:before="120" w:after="12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Emulate SNR to align the definition of high-SNR at each time instant under the fast-fading channel condition, the following two solutions of controlling the noise/SNR can be done at TE</w:t>
            </w:r>
          </w:p>
          <w:p w14:paraId="7D96BCA2">
            <w:pPr>
              <w:pStyle w:val="12"/>
              <w:numPr>
                <w:ilvl w:val="3"/>
                <w:numId w:val="4"/>
              </w:numPr>
              <w:spacing w:before="120" w:after="12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 upper bound of signal power as the maximum available Tx power transmitted from TE, then TE controls the level of artificial noise for target SNRs at different time instances</w:t>
            </w:r>
          </w:p>
          <w:p w14:paraId="1ACF7F20">
            <w:pPr>
              <w:pStyle w:val="12"/>
              <w:numPr>
                <w:ilvl w:val="3"/>
                <w:numId w:val="4"/>
              </w:numPr>
              <w:spacing w:before="120" w:after="12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Control the SNR and artificial noise dynamically with total power constraint for target SNRs at different time instances</w:t>
            </w:r>
          </w:p>
          <w:p w14:paraId="56A228EC">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 xml:space="preserve">Discuss testable SNR range in the test system and the assessment of the range </w:t>
            </w:r>
          </w:p>
          <w:p w14:paraId="7214ED4A">
            <w:pPr>
              <w:pStyle w:val="12"/>
              <w:numPr>
                <w:ilvl w:val="2"/>
                <w:numId w:val="4"/>
              </w:numPr>
              <w:spacing w:before="120" w:after="120"/>
              <w:ind w:firstLineChars="0"/>
              <w:rPr>
                <w:rFonts w:hint="default" w:ascii="Times New Roman" w:hAnsi="Times New Roman" w:eastAsia="Yu Mincho" w:cs="Times New Roman"/>
                <w:sz w:val="20"/>
                <w:szCs w:val="20"/>
              </w:rPr>
            </w:pPr>
          </w:p>
          <w:p w14:paraId="27E03329">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12 (Ericsson):</w:t>
            </w:r>
          </w:p>
          <w:p w14:paraId="4ACE6AA7">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Test setup for testing the AI/ML model deployed at UE to support intra-cell temporal prediction scenario is based on two-cell setup, similar to the test setup for legacy L3-based mobility.</w:t>
            </w:r>
          </w:p>
          <w:p w14:paraId="7B107019">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Existing test setup defined to validate requirements for inter-frequency measurements is re-used or used as a baseline for discussion on testing AI/ML based mobility for scenario 3. </w:t>
            </w:r>
          </w:p>
          <w:p w14:paraId="40A9561C">
            <w:pPr>
              <w:pStyle w:val="12"/>
              <w:numPr>
                <w:ilvl w:val="3"/>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Cell 1 in the test can be considered as the cell for measurement. </w:t>
            </w:r>
          </w:p>
          <w:p w14:paraId="3B5940B8">
            <w:pPr>
              <w:pStyle w:val="12"/>
              <w:numPr>
                <w:ilvl w:val="3"/>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Cell 2 in the test can be considered as the target cell for measurement prediction.</w:t>
            </w:r>
          </w:p>
          <w:p w14:paraId="44F4D14B">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13 (Qualcomm):</w:t>
            </w:r>
          </w:p>
          <w:p w14:paraId="7F0E043B">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Test framework for AI/ML based RRM measurement prediction should be defined in a way that the generalization or robustness of the model can be evaluated.</w:t>
            </w:r>
          </w:p>
          <w:p w14:paraId="0986B726">
            <w:pPr>
              <w:spacing w:before="180" w:after="180" w:line="240" w:lineRule="exact"/>
              <w:rPr>
                <w:rFonts w:hint="default" w:ascii="Times New Roman" w:hAnsi="Times New Roman" w:cs="Times New Roman"/>
                <w:sz w:val="20"/>
                <w:szCs w:val="20"/>
                <w:vertAlign w:val="baseline"/>
                <w:lang w:val="en-US" w:eastAsia="zh-CN"/>
              </w:rPr>
            </w:pPr>
          </w:p>
        </w:tc>
      </w:tr>
    </w:tbl>
    <w:p w14:paraId="205C4005">
      <w:pPr>
        <w:spacing w:before="180" w:after="180" w:line="240" w:lineRule="exact"/>
        <w:rPr>
          <w:rFonts w:hint="eastAsia" w:ascii="Times New Roman" w:hAnsi="Times New Roman"/>
          <w:sz w:val="20"/>
          <w:szCs w:val="20"/>
          <w:lang w:val="en-US" w:eastAsia="zh-CN"/>
        </w:rPr>
      </w:pPr>
    </w:p>
    <w:p w14:paraId="0A4FF04D">
      <w:pPr>
        <w:spacing w:before="180"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B06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D683A44">
            <w:pPr>
              <w:rPr>
                <w:rFonts w:hint="default" w:ascii="Times New Roman" w:hAnsi="Times New Roman" w:eastAsia="MS Mincho" w:cs="Times New Roman"/>
                <w:b/>
                <w:bCs/>
                <w:sz w:val="20"/>
                <w:szCs w:val="20"/>
                <w:u w:val="single"/>
                <w:lang w:eastAsia="zh-CN"/>
              </w:rPr>
            </w:pPr>
            <w:r>
              <w:rPr>
                <w:rFonts w:hint="default" w:ascii="Times New Roman" w:hAnsi="Times New Roman" w:eastAsia="MS Mincho" w:cs="Times New Roman"/>
                <w:b/>
                <w:bCs/>
                <w:sz w:val="20"/>
                <w:szCs w:val="20"/>
                <w:u w:val="single"/>
                <w:lang w:eastAsia="zh-CN"/>
              </w:rPr>
              <w:t>Issue 4-1-3: Multiple cells in the testing setup</w:t>
            </w:r>
          </w:p>
          <w:p w14:paraId="22F2A189">
            <w:pPr>
              <w:spacing w:after="120"/>
              <w:rPr>
                <w:rFonts w:hint="default" w:ascii="Times New Roman" w:hAnsi="Times New Roman" w:cs="Times New Roman"/>
                <w:color w:val="000000" w:themeColor="text1"/>
                <w:sz w:val="20"/>
                <w:szCs w:val="20"/>
                <w:highlight w:val="green"/>
                <w:lang w:eastAsia="zh-CN"/>
                <w14:textFill>
                  <w14:solidFill>
                    <w14:schemeClr w14:val="tx1"/>
                  </w14:solidFill>
                </w14:textFill>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Agreement:</w:t>
            </w:r>
          </w:p>
          <w:p w14:paraId="512BC6EE">
            <w:pPr>
              <w:pStyle w:val="12"/>
              <w:numPr>
                <w:ilvl w:val="0"/>
                <w:numId w:val="5"/>
              </w:numPr>
              <w:spacing w:after="120"/>
              <w:ind w:firstLineChars="0"/>
              <w:rPr>
                <w:rFonts w:hint="default" w:ascii="Times New Roman" w:hAnsi="Times New Roman" w:cs="Times New Roman"/>
                <w:color w:val="000000" w:themeColor="text1"/>
                <w:sz w:val="20"/>
                <w:szCs w:val="20"/>
                <w:highlight w:val="green"/>
                <w:lang w:eastAsia="zh-CN"/>
                <w14:textFill>
                  <w14:solidFill>
                    <w14:schemeClr w14:val="tx1"/>
                  </w14:solidFill>
                </w14:textFill>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RAN4 to consider two cells: serving cell and another/target cell for intra-cell RRM measurement prediction/event prediction.</w:t>
            </w:r>
          </w:p>
          <w:p w14:paraId="5F29D6FF">
            <w:pPr>
              <w:pStyle w:val="12"/>
              <w:numPr>
                <w:ilvl w:val="0"/>
                <w:numId w:val="5"/>
              </w:numPr>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FFS: RAN4 to study if more than 2 cells are needed for inter-cell RRM measurement prediction/event prediction.</w:t>
            </w:r>
          </w:p>
        </w:tc>
      </w:tr>
    </w:tbl>
    <w:p w14:paraId="775240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68FDD7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RAN4 #112bis meeting, it was agreed that RAN4 to start the discussion for scenario 2, 3, 4. According to RAN2 agreements, scenario 2 (intra-frequency intra-cell temporal domain case B prediction) (scenario number 2,5) is evaluated by predicting a sub set of measurement instances in temporal domain of the same cell for FR1. Scenario 3(</w:t>
      </w:r>
      <w:r>
        <w:rPr>
          <w:rFonts w:hint="default" w:ascii="Times New Roman" w:hAnsi="Times New Roman" w:eastAsia="等线" w:cs="Times New Roman"/>
          <w:bCs/>
          <w:iCs/>
          <w:sz w:val="20"/>
          <w:szCs w:val="20"/>
          <w:lang w:val="en-US" w:eastAsia="zh-CN"/>
        </w:rPr>
        <w:t>FR1 to FR1 inter-frequency inter-cell prediction</w:t>
      </w:r>
      <w:r>
        <w:rPr>
          <w:rFonts w:hint="eastAsia" w:ascii="Times New Roman" w:hAnsi="Times New Roman" w:eastAsia="等线" w:cs="Times New Roman"/>
          <w:bCs/>
          <w:iCs/>
          <w:sz w:val="20"/>
          <w:szCs w:val="20"/>
          <w:lang w:val="en-US" w:eastAsia="zh-CN"/>
        </w:rPr>
        <w:t>)</w:t>
      </w:r>
      <w:r>
        <w:rPr>
          <w:rFonts w:hint="default" w:ascii="Times New Roman" w:hAnsi="Times New Roman" w:eastAsia="等线" w:cs="Times New Roman"/>
          <w:bCs/>
          <w:iCs/>
          <w:sz w:val="20"/>
          <w:szCs w:val="20"/>
          <w:lang w:val="en-US" w:eastAsia="zh-CN"/>
        </w:rPr>
        <w:t xml:space="preserve"> focus on the case where cell to be measured and cell to be predicted are located in the same sector of either serving site or same neighbouring site</w:t>
      </w:r>
      <w:r>
        <w:rPr>
          <w:rFonts w:hint="eastAsia" w:ascii="Times New Roman" w:hAnsi="Times New Roman" w:eastAsia="等线" w:cs="Times New Roman"/>
          <w:bCs/>
          <w:iCs/>
          <w:sz w:val="20"/>
          <w:szCs w:val="20"/>
          <w:lang w:val="en-US" w:eastAsia="zh-CN"/>
        </w:rPr>
        <w:t xml:space="preserve">. Scenario 4 (intra-frequency intra-cell temporal domain case A prediction) is evaluated by predicting measurement result(s) in prediction window based on actual measurement result(s) in observation window of the same cell for FR1 without reducing any measurement in observation window. </w:t>
      </w:r>
    </w:p>
    <w:p w14:paraId="4A7E286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0"/>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2239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A96BB9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7396DA0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1CCD09D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24C1F14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7ECCBAD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5353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2D6734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0BD1882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2D2CE01E">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42FCFF2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E1E6CB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054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023ABB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2</w:t>
            </w:r>
          </w:p>
        </w:tc>
        <w:tc>
          <w:tcPr>
            <w:tcW w:w="1278" w:type="dxa"/>
            <w:tcBorders>
              <w:top w:val="single" w:color="auto" w:sz="4" w:space="0"/>
              <w:left w:val="single" w:color="auto" w:sz="4" w:space="0"/>
              <w:bottom w:val="single" w:color="auto" w:sz="4" w:space="0"/>
              <w:right w:val="single" w:color="auto" w:sz="4" w:space="0"/>
            </w:tcBorders>
          </w:tcPr>
          <w:p w14:paraId="310BD30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High</w:t>
            </w:r>
          </w:p>
        </w:tc>
        <w:tc>
          <w:tcPr>
            <w:tcW w:w="3769" w:type="dxa"/>
            <w:tcBorders>
              <w:top w:val="single" w:color="auto" w:sz="4" w:space="0"/>
              <w:left w:val="single" w:color="auto" w:sz="4" w:space="0"/>
              <w:bottom w:val="single" w:color="auto" w:sz="4" w:space="0"/>
              <w:right w:val="single" w:color="auto" w:sz="4" w:space="0"/>
            </w:tcBorders>
          </w:tcPr>
          <w:p w14:paraId="0B1D4FE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35E2E47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1</w:t>
            </w:r>
            <w:r>
              <w:rPr>
                <w:rFonts w:hint="default" w:ascii="Times New Roman" w:hAnsi="Times New Roman" w:eastAsia="Yu Mincho" w:cs="Times New Roman"/>
                <w:b/>
                <w:bCs/>
                <w:sz w:val="20"/>
                <w:szCs w:val="20"/>
                <w:highlight w:val="none"/>
                <w:vertAlign w:val="superscript"/>
              </w:rPr>
              <w:t>st</w:t>
            </w:r>
            <w:r>
              <w:rPr>
                <w:rFonts w:hint="default" w:ascii="Times New Roman" w:hAnsi="Times New Roman" w:eastAsia="Yu Mincho" w:cs="Times New Roman"/>
                <w:b/>
                <w:bCs/>
                <w:sz w:val="20"/>
                <w:szCs w:val="20"/>
                <w:highlight w:val="none"/>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2CE6AFC">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vertAlign w:val="superscript"/>
              </w:rPr>
            </w:pPr>
            <w:r>
              <w:rPr>
                <w:rFonts w:hint="default" w:ascii="Times New Roman" w:hAnsi="Times New Roman" w:eastAsia="Yu Mincho" w:cs="Times New Roman"/>
                <w:b/>
                <w:bCs/>
                <w:sz w:val="20"/>
                <w:szCs w:val="20"/>
                <w:highlight w:val="none"/>
              </w:rPr>
              <w:t>Intra-cell</w:t>
            </w:r>
          </w:p>
        </w:tc>
      </w:tr>
      <w:tr w14:paraId="5B83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15CC47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3</w:t>
            </w:r>
          </w:p>
        </w:tc>
        <w:tc>
          <w:tcPr>
            <w:tcW w:w="1278" w:type="dxa"/>
            <w:tcBorders>
              <w:top w:val="single" w:color="auto" w:sz="4" w:space="0"/>
              <w:left w:val="single" w:color="auto" w:sz="4" w:space="0"/>
              <w:bottom w:val="single" w:color="auto" w:sz="4" w:space="0"/>
              <w:right w:val="single" w:color="auto" w:sz="4" w:space="0"/>
            </w:tcBorders>
          </w:tcPr>
          <w:p w14:paraId="43B019C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High</w:t>
            </w:r>
          </w:p>
        </w:tc>
        <w:tc>
          <w:tcPr>
            <w:tcW w:w="3769" w:type="dxa"/>
            <w:tcBorders>
              <w:top w:val="single" w:color="auto" w:sz="4" w:space="0"/>
              <w:left w:val="single" w:color="auto" w:sz="4" w:space="0"/>
              <w:bottom w:val="single" w:color="auto" w:sz="4" w:space="0"/>
              <w:right w:val="single" w:color="auto" w:sz="4" w:space="0"/>
            </w:tcBorders>
          </w:tcPr>
          <w:p w14:paraId="1008B895">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7C0C98D">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1</w:t>
            </w:r>
            <w:r>
              <w:rPr>
                <w:rFonts w:hint="default" w:ascii="Times New Roman" w:hAnsi="Times New Roman" w:eastAsia="Yu Mincho" w:cs="Times New Roman"/>
                <w:b/>
                <w:bCs/>
                <w:sz w:val="20"/>
                <w:szCs w:val="20"/>
                <w:highlight w:val="none"/>
                <w:vertAlign w:val="superscript"/>
              </w:rPr>
              <w:t>st</w:t>
            </w:r>
            <w:r>
              <w:rPr>
                <w:rFonts w:hint="default" w:ascii="Times New Roman" w:hAnsi="Times New Roman" w:eastAsia="Yu Mincho" w:cs="Times New Roman"/>
                <w:b/>
                <w:bCs/>
                <w:sz w:val="20"/>
                <w:szCs w:val="20"/>
                <w:highlight w:val="none"/>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9CD384B">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 xml:space="preserve">Inter-cell </w:t>
            </w:r>
          </w:p>
        </w:tc>
      </w:tr>
      <w:tr w14:paraId="38E7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BF44E3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4</w:t>
            </w:r>
          </w:p>
        </w:tc>
        <w:tc>
          <w:tcPr>
            <w:tcW w:w="1278" w:type="dxa"/>
            <w:tcBorders>
              <w:top w:val="single" w:color="auto" w:sz="4" w:space="0"/>
              <w:left w:val="single" w:color="auto" w:sz="4" w:space="0"/>
              <w:bottom w:val="single" w:color="auto" w:sz="4" w:space="0"/>
              <w:right w:val="single" w:color="auto" w:sz="4" w:space="0"/>
            </w:tcBorders>
          </w:tcPr>
          <w:p w14:paraId="1B81A58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High</w:t>
            </w:r>
          </w:p>
        </w:tc>
        <w:tc>
          <w:tcPr>
            <w:tcW w:w="3769" w:type="dxa"/>
            <w:tcBorders>
              <w:top w:val="single" w:color="auto" w:sz="4" w:space="0"/>
              <w:left w:val="single" w:color="auto" w:sz="4" w:space="0"/>
              <w:bottom w:val="single" w:color="auto" w:sz="4" w:space="0"/>
              <w:right w:val="single" w:color="auto" w:sz="4" w:space="0"/>
            </w:tcBorders>
          </w:tcPr>
          <w:p w14:paraId="7B6EA49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938F623">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2</w:t>
            </w:r>
            <w:r>
              <w:rPr>
                <w:rFonts w:hint="default" w:ascii="Times New Roman" w:hAnsi="Times New Roman" w:eastAsia="Yu Mincho" w:cs="Times New Roman"/>
                <w:b/>
                <w:bCs/>
                <w:sz w:val="20"/>
                <w:szCs w:val="20"/>
                <w:highlight w:val="none"/>
                <w:vertAlign w:val="superscript"/>
              </w:rPr>
              <w:t>nd</w:t>
            </w:r>
            <w:r>
              <w:rPr>
                <w:rFonts w:hint="default" w:ascii="Times New Roman" w:hAnsi="Times New Roman" w:eastAsia="Yu Mincho" w:cs="Times New Roman"/>
                <w:b/>
                <w:bCs/>
                <w:sz w:val="20"/>
                <w:szCs w:val="20"/>
                <w:highlight w:val="none"/>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C3662A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Intra-cell</w:t>
            </w:r>
          </w:p>
        </w:tc>
      </w:tr>
      <w:tr w14:paraId="2CA8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20C965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506E4B1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655BB43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2680347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E4BCDE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7C56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E4C616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40553AB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31BD574A">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625F5A6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D45E6F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19E53C03">
      <w:pPr>
        <w:spacing w:after="180" w:line="240" w:lineRule="exact"/>
        <w:rPr>
          <w:rFonts w:hint="eastAsia" w:ascii="Times New Roman" w:hAnsi="Times New Roman" w:eastAsia="等线"/>
          <w:bCs/>
          <w:iCs/>
          <w:sz w:val="20"/>
          <w:szCs w:val="20"/>
          <w:lang w:val="en-US" w:eastAsia="zh-CN"/>
        </w:rPr>
      </w:pPr>
    </w:p>
    <w:p w14:paraId="6E450A1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it was agreed that RAN4 to consider two cells: serving cell and another/target cell for intra-cell RRM measurement prediction/event prediction. One possible interpretention is that measurement is performed on serving cell, while predition is performed on another/target cell. However, we do not think this interpretention is alligned with RAN2 discussion. As shown in Table1, for temporal domain prediction, intra-cell is considered, which means the input and output of the model are from the same cell. In detail, measurements performed within observation window (OW) are used to perdict measurements inside the prediction window (PW) for the same cell. Our interpretention about the agreements in last meeting is that it cover two cases, case 1 is that both the measurement and prediction are performed on the serving cell. Case 2 is that both the measurement and prediction are performed on non-serving cell. </w:t>
      </w:r>
    </w:p>
    <w:p w14:paraId="414ECB2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the test on intra-frequency temporal domain RRM measurement prediction, both the measurement and prediction are performed on the same cell, since the methodology consdiered in RAN2 is intra-cell. Following two cases are considered:</w:t>
      </w:r>
    </w:p>
    <w:p w14:paraId="1B29730C">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Case 1: the measurement are performed on serving cell and prediction are performed on serving cell</w:t>
      </w:r>
    </w:p>
    <w:p w14:paraId="1B97E96B">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Case 2: the measurement are performed on cell 1 and prediction are performed on cell 1, cell 1 is non-serving cell</w:t>
      </w:r>
    </w:p>
    <w:p w14:paraId="5E4E5A3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inter-frequency domain prediction, according to RAN2 discussion, for inter-frequency, RAN2 will focus on frequency domain for cluster based approach, since cluster as input (i.e. measurements from different cells as inputs) can improve the prediction accuracy than single cell as input. RAN2 agreed that in cluster approach the model takes measurements from more than one cell as inputs. In this way, at least two cells are needed as model input. RAN2 has no limitation on the number of cells as model output. Even if only one cell is predicted. In total 3 cells are needed. Taking above into account, RAN4 need to consider more than 2 cells for inter-cell RRM measurement prediction.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32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10E7A7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in RAN2#128 meeting</w:t>
            </w:r>
          </w:p>
          <w:p w14:paraId="42315F3E">
            <w:pPr>
              <w:pStyle w:val="12"/>
              <w:keepNext w:val="0"/>
              <w:keepLines w:val="0"/>
              <w:pageBreakBefore w:val="0"/>
              <w:widowControl/>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The prediction accuracy for intra-frequency temporal domain case B reduces as MRRT increases.  </w:t>
            </w:r>
          </w:p>
          <w:p w14:paraId="67E27EE5">
            <w:pPr>
              <w:pStyle w:val="12"/>
              <w:keepNext w:val="0"/>
              <w:keepLines w:val="0"/>
              <w:pageBreakBefore w:val="0"/>
              <w:widowControl/>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  </w:t>
            </w:r>
          </w:p>
          <w:p w14:paraId="1FBFBA7C">
            <w:pPr>
              <w:pStyle w:val="12"/>
              <w:keepNext w:val="0"/>
              <w:keepLines w:val="0"/>
              <w:pageBreakBefore w:val="0"/>
              <w:widowControl/>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the inter-frequency prediction, the evaluation results show that the higher the correlation coefficient is between two frequency layers, the higher the prediction accuracy.   FFS on observations on low correlations.  </w:t>
            </w:r>
          </w:p>
          <w:p w14:paraId="2BCDE45B">
            <w:pPr>
              <w:pStyle w:val="12"/>
              <w:keepNext w:val="0"/>
              <w:keepLines w:val="0"/>
              <w:pageBreakBefore w:val="0"/>
              <w:widowControl/>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inter-frequency, cluster as input (i.e. measurements from different cells as inputs )can improve the prediction accuracy than single cell as input.    For temporal domain, the gains are unclear.   RAN2 will focus on frequency domain for cluster based approach.   </w:t>
            </w:r>
          </w:p>
          <w:p w14:paraId="4074B5F2">
            <w:pPr>
              <w:pStyle w:val="12"/>
              <w:keepNext w:val="0"/>
              <w:keepLines w:val="0"/>
              <w:pageBreakBefore w:val="0"/>
              <w:widowControl/>
              <w:numPr>
                <w:ilvl w:val="0"/>
                <w:numId w:val="7"/>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highlight w:val="cyan"/>
                <w:vertAlign w:val="baseline"/>
                <w:lang w:val="en-US" w:eastAsia="zh-CN"/>
              </w:rPr>
              <w:t>In cluster approach the model takes measurements from more than one cell as inputs.</w:t>
            </w:r>
          </w:p>
        </w:tc>
      </w:tr>
    </w:tbl>
    <w:p w14:paraId="2E0DD062">
      <w:pPr>
        <w:spacing w:after="180" w:line="240" w:lineRule="exact"/>
        <w:rPr>
          <w:rFonts w:hint="eastAsia" w:ascii="Times New Roman" w:hAnsi="Times New Roman" w:eastAsia="等线"/>
          <w:bCs/>
          <w:iCs/>
          <w:sz w:val="20"/>
          <w:szCs w:val="20"/>
          <w:lang w:val="en-US" w:eastAsia="zh-CN"/>
        </w:rPr>
      </w:pPr>
    </w:p>
    <w:p w14:paraId="7C3C011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at least 2 cells are needed for inter-cell RRM measurement prediction.  </w:t>
      </w:r>
    </w:p>
    <w:p w14:paraId="6706AEA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AI/ML beam management, the discussion whether TDL or CDL are on-going. For AI/ML beam management, beams of set B is used to predict beams of Set A. The spatial domain prediction require to learn the sufficient spatial domain characteristic, which means that sufficient randomness and variation in spatial domain in the test is necessary. From this point of view, CDL is prefered since CDL channel provides more spatial characteristics compared with TDL. However, the situation is not same for AI/ML for mobility.</w:t>
      </w:r>
    </w:p>
    <w:p w14:paraId="1E0C11C6">
      <w:pPr>
        <w:numPr>
          <w:ilvl w:val="0"/>
          <w:numId w:val="7"/>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BM-Case1: Spatial-domain Downlink beam prediction for Set A of beams based on measurement results of Set B of beams</w:t>
      </w:r>
    </w:p>
    <w:p w14:paraId="2D8792B1">
      <w:pPr>
        <w:numPr>
          <w:ilvl w:val="0"/>
          <w:numId w:val="7"/>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BM-Case2: Temporal Downlink beam prediction for Set A of beams based on the historic measurement results of Set B of beams</w:t>
      </w:r>
    </w:p>
    <w:p w14:paraId="263DABB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channel model for AI/ML mobility testing can be discussed case by case. For time domain RRM measurement prediction, the measurement results of cell or beam(s) in the measurement window are used to predict the results of same cell or beam(s) in prediction window. It can be seen that no spatial domain characteristics are consdiered. From this point of view, no need to consdiered CDL. On the other hand, time domain measurement prediction require time domain characteristics. AWGN, which is a deterministic channel, seems not suitable. Taking above into account, at least TDL can be used for time domain RRM measurement prediction. Whether AWGN can be used are FFS.</w:t>
      </w:r>
    </w:p>
    <w:p w14:paraId="417F8FD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FR1 time domain RRM measurement prediction, at least TDL can be used for testing, FFS for AWGN.</w:t>
      </w:r>
    </w:p>
    <w:p w14:paraId="4612359C">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Frequency domain RRM measurement prediction focus on the case where cell to be measured and cell to be predicted are located in the same sector of either serving site or same neighbouring site. With the condition of co-located scenario and cell for measurement and cell for prediction are in the same sector, it seems no need to consider spatial domain characteristics. Similar as time domain RRM measurement prediction, at least TDL can be used, while AWGN are FFS.   </w:t>
      </w:r>
    </w:p>
    <w:p w14:paraId="44DB0CD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FR1 frequency domain RRM measurement prediction, at least TDL can be used for testing, FFS for AWGN.</w:t>
      </w:r>
    </w:p>
    <w:p w14:paraId="14AD961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shown in Table 1, scenario 4, 5, 6 are for FR2 intra-frequency including time domain prediction and spatial domain prediction. Those cases are similar as that for AI/ML BM use case. AI/ML BM use case include two case: BM-Case1: Spatial-domain Downlink beam prediction for Set A of beams based on measurement results of Set B of beams, BM-Case2: Temporal Downlink beam prediction for Set A of beams based on the historic measurement results of Set B of beams. And test setup and methodology for the beam management, e.g. single AoA vs multiple AoA(s) , TDL vs CDL, are under discussion in AI/ML BM use case. Considering that the situation for AI/ML Mobility testing in FR2 is similar as that for AI/ML BM use case, the conclusion of later one can be used as baseline.</w:t>
      </w:r>
    </w:p>
    <w:p w14:paraId="10B59DD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FR2 spatial domain RRM measurement prediction, it is proposed to take the outcome of AI/ML BM as baseline. </w:t>
      </w:r>
    </w:p>
    <w:p w14:paraId="228F887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was agreed to consider conducted testing as baseline for testing in FR1. In legacy conducted test, the ground truth is the transmit power which can be settled by TE, which means that ground truth is available. Similar approach can be used for FR1 AI/ML mobility. However, according to the discussion in last meeting, issues are identified to assume transmitted power at TE as the ground truth for FR1. In legacy FR1 test case set up, there is no L3 filtering and the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xml:space="preserve">. However, for AI test, fading channel will be employed, which means there is channel fluctuation in the time domain. How UE perform L1/L3 filtering will have impact on the ideal RSRP. SinceTE has no such information, it is difficult for TE to derive the ground truth. </w:t>
      </w:r>
    </w:p>
    <w:p w14:paraId="16B8F8B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This issue is related with which channel model us in use for test. If fading channel, e,g, TDL, is in use, above issues need to be solved to make sure TE can determine the ideal L3-RSRP. If above issues are not solved, reported value at high SNR can be considered as ideal, but there are UE cheating issue. If AWGN is in use, the situation is similar as legacy, it can be assumed that ground truth is available at TE. However, as discussed above, we are not sure whether AWGN is suitable for AI mobility tests.</w:t>
      </w:r>
    </w:p>
    <w:p w14:paraId="612277E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AI/ML mobility, how to get the ground truth for FR1 test is related with channel model used in the test.</w:t>
      </w:r>
    </w:p>
    <w:p w14:paraId="7BC08D49">
      <w:pPr>
        <w:numPr>
          <w:ilvl w:val="0"/>
          <w:numId w:val="7"/>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AWGN is in use, the ground truth is available at TE</w:t>
      </w:r>
    </w:p>
    <w:p w14:paraId="1BC4BC4D">
      <w:pPr>
        <w:numPr>
          <w:ilvl w:val="0"/>
          <w:numId w:val="7"/>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fading channel in use, FFS</w:t>
      </w:r>
    </w:p>
    <w:p w14:paraId="2DA35C25">
      <w:pPr>
        <w:spacing w:after="180" w:line="240" w:lineRule="exact"/>
        <w:rPr>
          <w:rFonts w:hint="eastAsia" w:ascii="Times New Roman" w:hAnsi="Times New Roman" w:eastAsia="等线"/>
          <w:bCs/>
          <w:iCs/>
          <w:sz w:val="20"/>
          <w:szCs w:val="20"/>
          <w:lang w:val="en-US" w:eastAsia="zh-CN"/>
        </w:rPr>
      </w:pPr>
    </w:p>
    <w:bookmarkEnd w:id="7"/>
    <w:bookmarkEnd w:id="8"/>
    <w:p w14:paraId="5C18422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6404C5E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testability and interoperability for AI/ML for mobility</w:t>
      </w:r>
      <w:r>
        <w:rPr>
          <w:rFonts w:hint="eastAsia" w:ascii="Times New Roman" w:hAnsi="Times New Roman"/>
          <w:sz w:val="20"/>
          <w:szCs w:val="20"/>
        </w:rPr>
        <w:t>. The proposals are:</w:t>
      </w:r>
    </w:p>
    <w:p w14:paraId="33C7C83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the test on intra-frequency temporal domain RRM measurement prediction, both the measurement and prediction are performed on the same cell, since the methodology consdiered in RAN2 is intra-cell. Following two cases are considered:</w:t>
      </w:r>
    </w:p>
    <w:p w14:paraId="15F3CE66">
      <w:pPr>
        <w:numPr>
          <w:ilvl w:val="0"/>
          <w:numId w:val="6"/>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Case 1: the measurement are performed on serving cell and prediction are performed on serving cell</w:t>
      </w:r>
    </w:p>
    <w:p w14:paraId="21642301">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Case 2: the measurement are performed on cell 1 and prediction are performed on cell 1, cell 1 is non-serving cell</w:t>
      </w:r>
    </w:p>
    <w:p w14:paraId="6FDC564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at least 2 cells are needed for inter-cell RRM measurement prediction.  </w:t>
      </w:r>
    </w:p>
    <w:p w14:paraId="18B1E29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FR1 time domain RRM measurement prediction, at least TDL can be used for testing, FFS for AWGN.</w:t>
      </w:r>
    </w:p>
    <w:p w14:paraId="142F6E9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FR1 frequency domain RRM measurement prediction, at least TDL can be used for testing, FFS for AWGN.</w:t>
      </w:r>
    </w:p>
    <w:p w14:paraId="57ACF0B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FR2 spatial domain RRM measurement prediction, it is proposed to take the outcome of AI/ML BM as baseline. </w:t>
      </w:r>
    </w:p>
    <w:p w14:paraId="3DED1514">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AI/ML mobility, how to get the ground truth for FR1 test is related with channel model used in the test.</w:t>
      </w:r>
    </w:p>
    <w:p w14:paraId="4225683D">
      <w:pPr>
        <w:numPr>
          <w:ilvl w:val="0"/>
          <w:numId w:val="7"/>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AWGN is in use, the ground truth is available at TE</w:t>
      </w:r>
    </w:p>
    <w:p w14:paraId="6A10280A">
      <w:pPr>
        <w:numPr>
          <w:ilvl w:val="0"/>
          <w:numId w:val="7"/>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fading channel in use, FFS</w:t>
      </w:r>
    </w:p>
    <w:p w14:paraId="23A8BCD9">
      <w:pPr>
        <w:spacing w:after="180" w:line="240" w:lineRule="exact"/>
        <w:rPr>
          <w:rFonts w:hint="eastAsia" w:ascii="Times New Roman" w:hAnsi="Times New Roman"/>
          <w:sz w:val="20"/>
          <w:szCs w:val="20"/>
        </w:rPr>
      </w:pPr>
    </w:p>
    <w:p w14:paraId="0909EFC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FE89547">
      <w:pPr>
        <w:pStyle w:val="13"/>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D155597">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R4-2504901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679EF9FE">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3EBB3267">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462A2A7">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R4-2414323</w:t>
      </w:r>
      <w:r>
        <w:rPr>
          <w:rFonts w:hint="eastAsia" w:ascii="Times" w:hAnsi="Times" w:eastAsia="宋体"/>
          <w:b w:val="0"/>
          <w:sz w:val="20"/>
          <w:lang w:val="en-US" w:eastAsia="zh-CN"/>
        </w:rPr>
        <w:t>, WF on AI/ML, Qualcomm Incorporated</w:t>
      </w:r>
    </w:p>
    <w:p w14:paraId="634AEE24">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7CE58C5C">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56A47A8">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0C38F9A5">
      <w:pPr>
        <w:pStyle w:val="13"/>
        <w:framePr w:wrap="auto" w:vAnchor="margin" w:hAnchor="text" w:yAlign="inline"/>
        <w:ind w:right="400"/>
        <w:jc w:val="both"/>
        <w:rPr>
          <w:rFonts w:ascii="Times" w:hAnsi="Times" w:eastAsia="宋体"/>
          <w:b w:val="0"/>
          <w:sz w:val="20"/>
          <w:lang w:eastAsia="zh-CN"/>
        </w:rPr>
      </w:pPr>
    </w:p>
    <w:p w14:paraId="5AD85129">
      <w:pPr>
        <w:pStyle w:val="13"/>
        <w:framePr w:wrap="auto" w:vAnchor="margin" w:hAnchor="text" w:yAlign="inline"/>
        <w:ind w:right="400"/>
        <w:jc w:val="both"/>
        <w:rPr>
          <w:rFonts w:ascii="Times" w:hAnsi="Times" w:eastAsia="宋体"/>
          <w:b w:val="0"/>
          <w:sz w:val="20"/>
          <w:lang w:eastAsia="zh-CN"/>
        </w:rPr>
      </w:pPr>
    </w:p>
    <w:p w14:paraId="20399D51">
      <w:pPr>
        <w:pStyle w:val="13"/>
        <w:framePr w:wrap="auto" w:vAnchor="margin" w:hAnchor="text" w:yAlign="inline"/>
        <w:ind w:right="400"/>
        <w:jc w:val="both"/>
        <w:rPr>
          <w:rFonts w:hint="eastAsia" w:ascii="Times" w:hAnsi="Times" w:eastAsia="宋体"/>
          <w:b w:val="0"/>
          <w:sz w:val="20"/>
          <w:lang w:val="en-US" w:eastAsia="zh-CN"/>
        </w:rPr>
      </w:pPr>
    </w:p>
    <w:p w14:paraId="3E731C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22515"/>
    <w:multiLevelType w:val="singleLevel"/>
    <w:tmpl w:val="EA022515"/>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C3A57C7"/>
    <w:multiLevelType w:val="singleLevel"/>
    <w:tmpl w:val="2C3A57C7"/>
    <w:lvl w:ilvl="0" w:tentative="0">
      <w:start w:val="1"/>
      <w:numFmt w:val="bullet"/>
      <w:lvlText w:val=""/>
      <w:lvlJc w:val="left"/>
      <w:pPr>
        <w:ind w:left="420" w:hanging="420"/>
      </w:pPr>
      <w:rPr>
        <w:rFonts w:hint="default" w:ascii="Wingdings" w:hAnsi="Wingdings"/>
      </w:rPr>
    </w:lvl>
  </w:abstractNum>
  <w:abstractNum w:abstractNumId="5">
    <w:nsid w:val="3014282A"/>
    <w:multiLevelType w:val="multilevel"/>
    <w:tmpl w:val="301428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0"/>
        </w:tabs>
        <w:ind w:left="936" w:hanging="360"/>
      </w:pPr>
      <w:rPr>
        <w:rFonts w:hint="default" w:ascii="Symbol" w:hAnsi="Symbol"/>
      </w:rPr>
    </w:lvl>
    <w:lvl w:ilvl="1" w:tentative="0">
      <w:start w:val="1"/>
      <w:numFmt w:val="bullet"/>
      <w:lvlText w:val="o"/>
      <w:lvlJc w:val="left"/>
      <w:pPr>
        <w:tabs>
          <w:tab w:val="left" w:pos="0"/>
        </w:tabs>
        <w:ind w:left="1656" w:hanging="360"/>
      </w:pPr>
      <w:rPr>
        <w:rFonts w:hint="default" w:ascii="Courier New" w:hAnsi="Courier New" w:cs="Courier New"/>
      </w:rPr>
    </w:lvl>
    <w:lvl w:ilvl="2" w:tentative="0">
      <w:start w:val="1"/>
      <w:numFmt w:val="bullet"/>
      <w:lvlText w:val=""/>
      <w:lvlJc w:val="left"/>
      <w:pPr>
        <w:tabs>
          <w:tab w:val="left" w:pos="0"/>
        </w:tabs>
        <w:ind w:left="2376" w:hanging="360"/>
      </w:pPr>
      <w:rPr>
        <w:rFonts w:hint="default" w:ascii="Wingdings" w:hAnsi="Wingdings"/>
      </w:rPr>
    </w:lvl>
    <w:lvl w:ilvl="3" w:tentative="0">
      <w:start w:val="1"/>
      <w:numFmt w:val="bullet"/>
      <w:lvlText w:val=""/>
      <w:lvlJc w:val="left"/>
      <w:pPr>
        <w:tabs>
          <w:tab w:val="left" w:pos="0"/>
        </w:tabs>
        <w:ind w:left="3096" w:hanging="360"/>
      </w:pPr>
      <w:rPr>
        <w:rFonts w:hint="default" w:ascii="Symbol" w:hAnsi="Symbol"/>
      </w:rPr>
    </w:lvl>
    <w:lvl w:ilvl="4" w:tentative="0">
      <w:start w:val="1"/>
      <w:numFmt w:val="bullet"/>
      <w:lvlText w:val="o"/>
      <w:lvlJc w:val="left"/>
      <w:pPr>
        <w:tabs>
          <w:tab w:val="left" w:pos="0"/>
        </w:tabs>
        <w:ind w:left="3816" w:hanging="360"/>
      </w:pPr>
      <w:rPr>
        <w:rFonts w:hint="default" w:ascii="Courier New" w:hAnsi="Courier New" w:cs="Courier New"/>
      </w:rPr>
    </w:lvl>
    <w:lvl w:ilvl="5" w:tentative="0">
      <w:start w:val="1"/>
      <w:numFmt w:val="bullet"/>
      <w:lvlText w:val=""/>
      <w:lvlJc w:val="left"/>
      <w:pPr>
        <w:tabs>
          <w:tab w:val="left" w:pos="0"/>
        </w:tabs>
        <w:ind w:left="4536" w:hanging="360"/>
      </w:pPr>
      <w:rPr>
        <w:rFonts w:hint="default" w:ascii="Wingdings" w:hAnsi="Wingdings"/>
      </w:rPr>
    </w:lvl>
    <w:lvl w:ilvl="6" w:tentative="0">
      <w:start w:val="1"/>
      <w:numFmt w:val="bullet"/>
      <w:lvlText w:val=""/>
      <w:lvlJc w:val="left"/>
      <w:pPr>
        <w:tabs>
          <w:tab w:val="left" w:pos="0"/>
        </w:tabs>
        <w:ind w:left="5256" w:hanging="360"/>
      </w:pPr>
      <w:rPr>
        <w:rFonts w:hint="default" w:ascii="Symbol" w:hAnsi="Symbol"/>
      </w:rPr>
    </w:lvl>
    <w:lvl w:ilvl="7" w:tentative="0">
      <w:start w:val="1"/>
      <w:numFmt w:val="bullet"/>
      <w:lvlText w:val="o"/>
      <w:lvlJc w:val="left"/>
      <w:pPr>
        <w:tabs>
          <w:tab w:val="left" w:pos="0"/>
        </w:tabs>
        <w:ind w:left="5976" w:hanging="360"/>
      </w:pPr>
      <w:rPr>
        <w:rFonts w:hint="default" w:ascii="Courier New" w:hAnsi="Courier New" w:cs="Courier New"/>
      </w:rPr>
    </w:lvl>
    <w:lvl w:ilvl="8" w:tentative="0">
      <w:start w:val="1"/>
      <w:numFmt w:val="bullet"/>
      <w:lvlText w:val=""/>
      <w:lvlJc w:val="left"/>
      <w:pPr>
        <w:tabs>
          <w:tab w:val="left" w:pos="0"/>
        </w:tabs>
        <w:ind w:left="6696"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2"/>
  </w:num>
  <w:num w:numId="4">
    <w:abstractNumId w:val="6"/>
  </w:num>
  <w:num w:numId="5">
    <w:abstractNumId w:val="5"/>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23534"/>
    <w:rsid w:val="039B37C7"/>
    <w:rsid w:val="03B64756"/>
    <w:rsid w:val="05467D5B"/>
    <w:rsid w:val="05581271"/>
    <w:rsid w:val="07067916"/>
    <w:rsid w:val="089944A9"/>
    <w:rsid w:val="095F3199"/>
    <w:rsid w:val="0AB944A3"/>
    <w:rsid w:val="0BD22464"/>
    <w:rsid w:val="0C360518"/>
    <w:rsid w:val="0D0C09BA"/>
    <w:rsid w:val="0D3650B0"/>
    <w:rsid w:val="0D4E5761"/>
    <w:rsid w:val="10E31976"/>
    <w:rsid w:val="138C7281"/>
    <w:rsid w:val="13E54515"/>
    <w:rsid w:val="14B41806"/>
    <w:rsid w:val="14EF7E4B"/>
    <w:rsid w:val="154B4C98"/>
    <w:rsid w:val="17722603"/>
    <w:rsid w:val="17795811"/>
    <w:rsid w:val="17AD1EBF"/>
    <w:rsid w:val="1A4F3CB5"/>
    <w:rsid w:val="1E262080"/>
    <w:rsid w:val="1EA13FCF"/>
    <w:rsid w:val="1F4B69E7"/>
    <w:rsid w:val="1FB44D91"/>
    <w:rsid w:val="20E821F8"/>
    <w:rsid w:val="21F229A5"/>
    <w:rsid w:val="222F6581"/>
    <w:rsid w:val="22F84732"/>
    <w:rsid w:val="24E9569E"/>
    <w:rsid w:val="25496E57"/>
    <w:rsid w:val="26A3466F"/>
    <w:rsid w:val="288D0D17"/>
    <w:rsid w:val="291E49C7"/>
    <w:rsid w:val="296A6325"/>
    <w:rsid w:val="2B6D12EE"/>
    <w:rsid w:val="2BD36B73"/>
    <w:rsid w:val="2C0003B4"/>
    <w:rsid w:val="2C963514"/>
    <w:rsid w:val="2CC97A35"/>
    <w:rsid w:val="2F0E7FC2"/>
    <w:rsid w:val="31817AFF"/>
    <w:rsid w:val="31B53264"/>
    <w:rsid w:val="32843DF1"/>
    <w:rsid w:val="3702134C"/>
    <w:rsid w:val="37EA17DA"/>
    <w:rsid w:val="39A706A6"/>
    <w:rsid w:val="3AF811CC"/>
    <w:rsid w:val="411917F4"/>
    <w:rsid w:val="41395AA3"/>
    <w:rsid w:val="41597CC1"/>
    <w:rsid w:val="42566B61"/>
    <w:rsid w:val="45251780"/>
    <w:rsid w:val="457B600C"/>
    <w:rsid w:val="486C7D0F"/>
    <w:rsid w:val="48BD345D"/>
    <w:rsid w:val="495B36DC"/>
    <w:rsid w:val="4A513E14"/>
    <w:rsid w:val="4EE51018"/>
    <w:rsid w:val="4F01352B"/>
    <w:rsid w:val="4F676753"/>
    <w:rsid w:val="4FEB696F"/>
    <w:rsid w:val="521A547C"/>
    <w:rsid w:val="561E00D5"/>
    <w:rsid w:val="56582839"/>
    <w:rsid w:val="59A65848"/>
    <w:rsid w:val="5A1C50E2"/>
    <w:rsid w:val="5C491F27"/>
    <w:rsid w:val="5F952C60"/>
    <w:rsid w:val="61DF3A9F"/>
    <w:rsid w:val="62D556ED"/>
    <w:rsid w:val="63D0170C"/>
    <w:rsid w:val="64DF4CFA"/>
    <w:rsid w:val="676E7F3D"/>
    <w:rsid w:val="67A4673A"/>
    <w:rsid w:val="684079C6"/>
    <w:rsid w:val="68D8170E"/>
    <w:rsid w:val="690E1BE8"/>
    <w:rsid w:val="6C642F64"/>
    <w:rsid w:val="6E8F758B"/>
    <w:rsid w:val="71A82806"/>
    <w:rsid w:val="73C17630"/>
    <w:rsid w:val="773A3D18"/>
    <w:rsid w:val="77B91A3C"/>
    <w:rsid w:val="77F160D3"/>
    <w:rsid w:val="79EA0896"/>
    <w:rsid w:val="7D8D6888"/>
    <w:rsid w:val="7DB24046"/>
    <w:rsid w:val="7F714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B1"/>
    <w:basedOn w:val="1"/>
    <w:qFormat/>
    <w:uiPriority w:val="0"/>
    <w:pPr>
      <w:ind w:left="568" w:hanging="284"/>
    </w:pPr>
  </w:style>
  <w:style w:type="table" w:customStyle="1" w:styleId="17">
    <w:name w:val="SGS Table Basic 11"/>
    <w:basedOn w:val="9"/>
    <w:qFormat/>
    <w:uiPriority w:val="5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2025-05-09T08:34:28Z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